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8E687" w14:textId="31459DE0" w:rsidR="007757EF" w:rsidRPr="00302478" w:rsidRDefault="007757EF" w:rsidP="00A32659">
      <w:pPr>
        <w:rPr>
          <w:rFonts w:ascii="Corbel" w:hAnsi="Corbel"/>
          <w:b/>
          <w:bCs/>
          <w:color w:val="70AD47" w:themeColor="accent6"/>
          <w:sz w:val="40"/>
          <w:szCs w:val="40"/>
        </w:rPr>
      </w:pPr>
      <w:r w:rsidRPr="00302478">
        <w:rPr>
          <w:rFonts w:ascii="Corbel" w:hAnsi="Corbel"/>
          <w:b/>
          <w:bCs/>
          <w:color w:val="70AD47" w:themeColor="accent6"/>
          <w:sz w:val="40"/>
          <w:szCs w:val="40"/>
        </w:rPr>
        <w:t xml:space="preserve"> </w:t>
      </w:r>
    </w:p>
    <w:p w14:paraId="2E80B7DD" w14:textId="26179087" w:rsidR="007757EF" w:rsidRPr="00302478" w:rsidRDefault="007757EF" w:rsidP="007757EF">
      <w:pPr>
        <w:jc w:val="center"/>
        <w:rPr>
          <w:rFonts w:ascii="Corbel" w:hAnsi="Corbel"/>
          <w:b/>
          <w:color w:val="70AD47" w:themeColor="accent6"/>
        </w:rPr>
      </w:pPr>
    </w:p>
    <w:p w14:paraId="53CB084E" w14:textId="2F0A837C" w:rsidR="00A67CC6" w:rsidRDefault="00A67CC6" w:rsidP="009D58B5">
      <w:pPr>
        <w:jc w:val="center"/>
        <w:rPr>
          <w:rFonts w:ascii="Corbel" w:hAnsi="Corbel"/>
          <w:b/>
          <w:sz w:val="48"/>
        </w:rPr>
      </w:pPr>
      <w:r w:rsidRPr="00E855FB">
        <w:rPr>
          <w:rFonts w:ascii="Calibri Light" w:eastAsia="Calibri" w:hAnsi="Calibri Light" w:cs="Calibri Light"/>
          <w:noProof/>
          <w:color w:val="31849B"/>
          <w:sz w:val="24"/>
          <w:szCs w:val="24"/>
          <w:lang w:val="en-GB" w:eastAsia="en-GB"/>
        </w:rPr>
        <w:drawing>
          <wp:inline distT="0" distB="0" distL="0" distR="0" wp14:anchorId="4162FC25" wp14:editId="0D6FF7F4">
            <wp:extent cx="519953" cy="888627"/>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 grb Srbije A4-cmyk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50" cy="901440"/>
                    </a:xfrm>
                    <a:prstGeom prst="rect">
                      <a:avLst/>
                    </a:prstGeom>
                  </pic:spPr>
                </pic:pic>
              </a:graphicData>
            </a:graphic>
          </wp:inline>
        </w:drawing>
      </w:r>
    </w:p>
    <w:p w14:paraId="7F3560A8" w14:textId="7F3AD166" w:rsidR="0074317B" w:rsidRDefault="00943A68" w:rsidP="009D58B5">
      <w:pPr>
        <w:jc w:val="center"/>
        <w:rPr>
          <w:rFonts w:ascii="Corbel" w:hAnsi="Corbel"/>
          <w:b/>
          <w:sz w:val="48"/>
        </w:rPr>
      </w:pPr>
      <w:r>
        <w:rPr>
          <w:rFonts w:ascii="Corbel" w:hAnsi="Corbel"/>
          <w:b/>
          <w:sz w:val="48"/>
        </w:rPr>
        <w:t>Republika Srbija</w:t>
      </w:r>
    </w:p>
    <w:p w14:paraId="4943BE43" w14:textId="61FE411A" w:rsidR="009D58B5" w:rsidRPr="009D58B5" w:rsidRDefault="00943A68" w:rsidP="0074317B">
      <w:pPr>
        <w:jc w:val="center"/>
        <w:rPr>
          <w:rFonts w:ascii="Corbel" w:hAnsi="Corbel"/>
          <w:b/>
          <w:sz w:val="28"/>
          <w:szCs w:val="28"/>
        </w:rPr>
      </w:pPr>
      <w:r>
        <w:rPr>
          <w:rFonts w:cstheme="minorHAnsi"/>
          <w:sz w:val="28"/>
          <w:szCs w:val="28"/>
        </w:rPr>
        <w:t>Kancelarija za informacione tehnologije i elektronsku upravu</w:t>
      </w:r>
      <w:r w:rsidR="009D58B5" w:rsidRPr="009D58B5">
        <w:rPr>
          <w:rFonts w:cstheme="minorHAnsi"/>
          <w:sz w:val="28"/>
          <w:szCs w:val="28"/>
        </w:rPr>
        <w:t xml:space="preserve"> (OITEG)</w:t>
      </w:r>
    </w:p>
    <w:p w14:paraId="01E6F6FE" w14:textId="77777777" w:rsidR="0074317B" w:rsidRDefault="0074317B" w:rsidP="0074317B">
      <w:pPr>
        <w:jc w:val="center"/>
        <w:rPr>
          <w:rFonts w:ascii="Corbel" w:hAnsi="Corbel"/>
          <w:b/>
          <w:sz w:val="48"/>
        </w:rPr>
      </w:pPr>
    </w:p>
    <w:p w14:paraId="31AEB2CA" w14:textId="77325CD0" w:rsidR="007757EF" w:rsidRPr="00943A68" w:rsidRDefault="00943A68" w:rsidP="00A32659">
      <w:pPr>
        <w:jc w:val="center"/>
        <w:rPr>
          <w:rFonts w:ascii="Corbel" w:hAnsi="Corbel"/>
          <w:b/>
          <w:bCs/>
          <w:sz w:val="48"/>
          <w:szCs w:val="48"/>
          <w:lang w:val="it-IT"/>
        </w:rPr>
      </w:pPr>
      <w:r w:rsidRPr="00943A68">
        <w:rPr>
          <w:rFonts w:ascii="Corbel" w:hAnsi="Corbel"/>
          <w:b/>
          <w:bCs/>
          <w:sz w:val="48"/>
          <w:szCs w:val="48"/>
          <w:lang w:val="it-IT"/>
        </w:rPr>
        <w:t xml:space="preserve">Srpski ekosistem za otporne, proverljive i inkluzivne usluge </w:t>
      </w:r>
      <w:r w:rsidR="0074317B" w:rsidRPr="00943A68">
        <w:rPr>
          <w:rFonts w:ascii="Corbel" w:hAnsi="Corbel"/>
          <w:b/>
          <w:bCs/>
          <w:sz w:val="48"/>
          <w:szCs w:val="48"/>
          <w:lang w:val="it-IT"/>
        </w:rPr>
        <w:t>(P514497) </w:t>
      </w:r>
    </w:p>
    <w:p w14:paraId="160DC687" w14:textId="77777777" w:rsidR="007757EF" w:rsidRPr="00943A68" w:rsidRDefault="007757EF" w:rsidP="007757EF">
      <w:pPr>
        <w:jc w:val="center"/>
        <w:rPr>
          <w:rFonts w:ascii="Corbel" w:hAnsi="Corbel"/>
          <w:b/>
          <w:sz w:val="48"/>
          <w:lang w:val="it-IT"/>
        </w:rPr>
      </w:pPr>
    </w:p>
    <w:p w14:paraId="49798002" w14:textId="1BC901D4" w:rsidR="00D306D6" w:rsidRPr="00943A68" w:rsidRDefault="00943A68" w:rsidP="00943A68">
      <w:pPr>
        <w:pStyle w:val="ListParagraph"/>
        <w:ind w:left="0" w:firstLine="0"/>
        <w:jc w:val="center"/>
        <w:rPr>
          <w:rFonts w:ascii="Corbel" w:hAnsi="Corbel"/>
          <w:b/>
          <w:bCs/>
          <w:color w:val="4472C4" w:themeColor="accent1"/>
          <w:sz w:val="48"/>
          <w:szCs w:val="48"/>
          <w:lang w:val="it-IT"/>
        </w:rPr>
      </w:pPr>
      <w:r w:rsidRPr="00943A68">
        <w:rPr>
          <w:rFonts w:ascii="Corbel" w:hAnsi="Corbel"/>
          <w:b/>
          <w:caps/>
          <w:color w:val="4472C4" w:themeColor="accent1"/>
          <w:sz w:val="48"/>
          <w:lang w:val="it-IT"/>
        </w:rPr>
        <w:t xml:space="preserve">PLAN EKOLOŠKIH I DRUŠTVENIH OBAVEZA </w:t>
      </w:r>
      <w:r w:rsidR="007757EF" w:rsidRPr="00943A68">
        <w:rPr>
          <w:rFonts w:ascii="Corbel" w:hAnsi="Corbel"/>
          <w:b/>
          <w:bCs/>
          <w:color w:val="4472C4" w:themeColor="accent1"/>
          <w:sz w:val="48"/>
          <w:szCs w:val="48"/>
          <w:lang w:val="it-IT"/>
        </w:rPr>
        <w:t xml:space="preserve">(ESCP) </w:t>
      </w:r>
    </w:p>
    <w:p w14:paraId="69E2E238" w14:textId="77777777" w:rsidR="00984C70" w:rsidRPr="00943A68" w:rsidRDefault="00984C70" w:rsidP="00D306D6">
      <w:pPr>
        <w:jc w:val="center"/>
        <w:rPr>
          <w:rFonts w:ascii="Corbel" w:hAnsi="Corbel"/>
          <w:b/>
          <w:bCs/>
          <w:sz w:val="40"/>
          <w:szCs w:val="40"/>
          <w:lang w:val="it-IT"/>
        </w:rPr>
      </w:pPr>
    </w:p>
    <w:p w14:paraId="7741B224" w14:textId="0C4C1C8C" w:rsidR="007757EF" w:rsidRPr="00943A68" w:rsidRDefault="00943A68" w:rsidP="00D306D6">
      <w:pPr>
        <w:jc w:val="center"/>
        <w:rPr>
          <w:rFonts w:ascii="Corbel" w:hAnsi="Corbel"/>
          <w:b/>
          <w:bCs/>
          <w:color w:val="4472C4" w:themeColor="accent1"/>
          <w:sz w:val="48"/>
          <w:szCs w:val="48"/>
          <w:lang w:val="it-IT"/>
        </w:rPr>
      </w:pPr>
      <w:r w:rsidRPr="00943A68">
        <w:rPr>
          <w:rFonts w:ascii="Corbel" w:hAnsi="Corbel"/>
          <w:b/>
          <w:bCs/>
          <w:sz w:val="40"/>
          <w:szCs w:val="40"/>
          <w:lang w:val="it-IT"/>
        </w:rPr>
        <w:t>Verzija za procenu</w:t>
      </w:r>
      <w:r w:rsidR="00D306D6" w:rsidRPr="00943A68">
        <w:rPr>
          <w:rFonts w:ascii="Corbel" w:hAnsi="Corbel"/>
          <w:b/>
          <w:bCs/>
          <w:sz w:val="40"/>
          <w:szCs w:val="40"/>
          <w:lang w:val="it-IT"/>
        </w:rPr>
        <w:t xml:space="preserve"> </w:t>
      </w:r>
    </w:p>
    <w:p w14:paraId="6EA6693A" w14:textId="77777777" w:rsidR="00A32659" w:rsidRPr="00943A68" w:rsidRDefault="00A32659" w:rsidP="00C439A6">
      <w:pPr>
        <w:jc w:val="center"/>
        <w:rPr>
          <w:rFonts w:ascii="Corbel" w:hAnsi="Corbel"/>
          <w:b/>
          <w:sz w:val="40"/>
          <w:szCs w:val="18"/>
          <w:lang w:val="it-IT"/>
        </w:rPr>
      </w:pPr>
    </w:p>
    <w:p w14:paraId="41C6C589" w14:textId="01A91A0C" w:rsidR="00D306D6" w:rsidRPr="00943A68" w:rsidRDefault="00943A68" w:rsidP="004000A5">
      <w:pPr>
        <w:jc w:val="center"/>
        <w:rPr>
          <w:rFonts w:ascii="Corbel" w:hAnsi="Corbel"/>
          <w:b/>
          <w:sz w:val="40"/>
          <w:szCs w:val="18"/>
          <w:lang w:val="it-IT"/>
        </w:rPr>
      </w:pPr>
      <w:r w:rsidRPr="00943A68">
        <w:rPr>
          <w:rFonts w:ascii="Corbel" w:hAnsi="Corbel"/>
          <w:b/>
          <w:sz w:val="40"/>
          <w:szCs w:val="18"/>
          <w:lang w:val="it-IT"/>
        </w:rPr>
        <w:t>Maj</w:t>
      </w:r>
      <w:r w:rsidR="00D306D6" w:rsidRPr="00943A68">
        <w:rPr>
          <w:rFonts w:ascii="Corbel" w:hAnsi="Corbel"/>
          <w:b/>
          <w:sz w:val="40"/>
          <w:szCs w:val="18"/>
          <w:lang w:val="it-IT"/>
        </w:rPr>
        <w:t xml:space="preserve"> 20</w:t>
      </w:r>
      <w:r w:rsidR="005E692B" w:rsidRPr="00943A68">
        <w:rPr>
          <w:rFonts w:ascii="Corbel" w:hAnsi="Corbel"/>
          <w:b/>
          <w:sz w:val="40"/>
          <w:szCs w:val="18"/>
          <w:lang w:val="it-IT"/>
        </w:rPr>
        <w:t>26</w:t>
      </w:r>
      <w:r w:rsidRPr="00943A68">
        <w:rPr>
          <w:rFonts w:ascii="Corbel" w:hAnsi="Corbel"/>
          <w:b/>
          <w:sz w:val="40"/>
          <w:szCs w:val="18"/>
          <w:lang w:val="it-IT"/>
        </w:rPr>
        <w:t>.</w:t>
      </w:r>
    </w:p>
    <w:p w14:paraId="4BA1CB88" w14:textId="77777777" w:rsidR="00D306D6" w:rsidRPr="00943A68" w:rsidRDefault="00D306D6" w:rsidP="007757EF">
      <w:pPr>
        <w:jc w:val="center"/>
        <w:rPr>
          <w:rFonts w:ascii="Calibri" w:hAnsi="Calibri"/>
          <w:b/>
          <w:lang w:val="it-IT"/>
        </w:rPr>
      </w:pPr>
    </w:p>
    <w:p w14:paraId="2EF49E79" w14:textId="77777777" w:rsidR="00D306D6" w:rsidRPr="00943A68" w:rsidRDefault="00D306D6" w:rsidP="007757EF">
      <w:pPr>
        <w:jc w:val="center"/>
        <w:rPr>
          <w:rFonts w:ascii="Calibri" w:hAnsi="Calibri"/>
          <w:b/>
          <w:lang w:val="it-IT"/>
        </w:rPr>
      </w:pPr>
    </w:p>
    <w:p w14:paraId="641174A8" w14:textId="77777777" w:rsidR="008B66B4" w:rsidRPr="00943A68" w:rsidRDefault="008B66B4" w:rsidP="007757EF">
      <w:pPr>
        <w:jc w:val="center"/>
        <w:rPr>
          <w:rFonts w:ascii="Calibri" w:hAnsi="Calibri"/>
          <w:b/>
          <w:lang w:val="it-IT"/>
        </w:rPr>
      </w:pPr>
    </w:p>
    <w:p w14:paraId="515A1F3E" w14:textId="3739349B" w:rsidR="008B66B4" w:rsidRPr="00943A68" w:rsidRDefault="008B66B4" w:rsidP="008B66B4">
      <w:pPr>
        <w:rPr>
          <w:rFonts w:ascii="Calibri" w:hAnsi="Calibri"/>
          <w:b/>
          <w:lang w:val="it-IT"/>
        </w:rPr>
      </w:pPr>
      <w:r w:rsidRPr="00943A68">
        <w:rPr>
          <w:rFonts w:ascii="Calibri" w:hAnsi="Calibri"/>
          <w:b/>
          <w:lang w:val="it-IT"/>
        </w:rPr>
        <w:t xml:space="preserve">  </w:t>
      </w:r>
    </w:p>
    <w:p w14:paraId="45AD2640" w14:textId="77777777" w:rsidR="008B66B4" w:rsidRPr="00943A68" w:rsidRDefault="008B66B4" w:rsidP="007757EF">
      <w:pPr>
        <w:jc w:val="center"/>
        <w:rPr>
          <w:rFonts w:ascii="Calibri" w:hAnsi="Calibri"/>
          <w:b/>
          <w:lang w:val="it-IT"/>
        </w:rPr>
      </w:pPr>
    </w:p>
    <w:p w14:paraId="216D8E51" w14:textId="77777777" w:rsidR="008B66B4" w:rsidRPr="00943A68" w:rsidRDefault="008B66B4" w:rsidP="007757EF">
      <w:pPr>
        <w:jc w:val="center"/>
        <w:rPr>
          <w:rFonts w:ascii="Calibri" w:hAnsi="Calibri"/>
          <w:b/>
          <w:lang w:val="it-IT"/>
        </w:rPr>
      </w:pPr>
    </w:p>
    <w:p w14:paraId="271E8615" w14:textId="6E258F8C" w:rsidR="00C40F78" w:rsidRPr="00A32659" w:rsidRDefault="007757EF" w:rsidP="00A32659">
      <w:pPr>
        <w:jc w:val="center"/>
        <w:rPr>
          <w:rFonts w:ascii="Calibri" w:hAnsi="Calibri"/>
          <w:b/>
        </w:rPr>
      </w:pPr>
      <w:r w:rsidRPr="00302478">
        <w:rPr>
          <w:rFonts w:ascii="Calibri" w:hAnsi="Calibri"/>
          <w:b/>
        </w:rPr>
        <w:t>PLAN</w:t>
      </w:r>
      <w:r w:rsidR="00943A68">
        <w:rPr>
          <w:rFonts w:ascii="Calibri" w:hAnsi="Calibri"/>
          <w:b/>
        </w:rPr>
        <w:t xml:space="preserve"> EKOLOŠKIH I DRUŠTVENIH OBAVEZA</w:t>
      </w:r>
    </w:p>
    <w:p w14:paraId="590AA9A5" w14:textId="77777777" w:rsidR="00C40F78" w:rsidRDefault="00C40F78" w:rsidP="00C40F78">
      <w:pPr>
        <w:jc w:val="both"/>
        <w:rPr>
          <w:rFonts w:ascii="Calibri" w:hAnsi="Calibri"/>
          <w:b/>
          <w:bCs/>
          <w:i/>
          <w:iCs/>
        </w:rPr>
      </w:pPr>
    </w:p>
    <w:p w14:paraId="6DC93FAB" w14:textId="1085362E" w:rsidR="00C40F78" w:rsidRPr="00C40F78" w:rsidRDefault="00943A68" w:rsidP="00C40F78">
      <w:pPr>
        <w:pStyle w:val="ListParagraph"/>
        <w:numPr>
          <w:ilvl w:val="0"/>
          <w:numId w:val="10"/>
        </w:numPr>
        <w:rPr>
          <w:rFonts w:cstheme="minorHAnsi"/>
          <w:b/>
          <w:bCs/>
        </w:rPr>
      </w:pPr>
      <w:r w:rsidRPr="00943A68">
        <w:rPr>
          <w:rFonts w:cstheme="minorHAnsi"/>
        </w:rPr>
        <w:t>Republika Srbija (Zajmoprimac) sprov</w:t>
      </w:r>
      <w:r>
        <w:rPr>
          <w:rFonts w:cstheme="minorHAnsi"/>
        </w:rPr>
        <w:t>odiće Projekat „Srpski ekosistem</w:t>
      </w:r>
      <w:r w:rsidRPr="00943A68">
        <w:rPr>
          <w:rFonts w:cstheme="minorHAnsi"/>
        </w:rPr>
        <w:t xml:space="preserve"> za otporne, proverljive i inkluzivne </w:t>
      </w:r>
      <w:proofErr w:type="gramStart"/>
      <w:r w:rsidRPr="00943A68">
        <w:rPr>
          <w:rFonts w:cstheme="minorHAnsi"/>
        </w:rPr>
        <w:t>usluge“ (</w:t>
      </w:r>
      <w:proofErr w:type="gramEnd"/>
      <w:r w:rsidRPr="00943A68">
        <w:rPr>
          <w:rFonts w:cstheme="minorHAnsi"/>
        </w:rPr>
        <w:t xml:space="preserve">u daljem tekstu: Projekat) preko Kancelarije za informacione tehnologije i elektronsku upravu (OITEG), uz učešće nadležnih ministarstava, agencija i institucija, kako je utvrđeno Ugovorom o zajmu (Ugovor). </w:t>
      </w:r>
      <w:r>
        <w:rPr>
          <w:rFonts w:cstheme="minorHAnsi"/>
        </w:rPr>
        <w:t>Međunarodna banka za obnovu i razvoj</w:t>
      </w:r>
      <w:r w:rsidRPr="00943A68">
        <w:rPr>
          <w:rFonts w:cstheme="minorHAnsi"/>
        </w:rPr>
        <w:t xml:space="preserve"> (Banka) saglasila se da obezbedi finansiranje Projekta, kako je predviđeno Ugovorom</w:t>
      </w:r>
      <w:r w:rsidR="00C40F78">
        <w:rPr>
          <w:rFonts w:cstheme="minorHAnsi"/>
        </w:rPr>
        <w:t>.</w:t>
      </w:r>
      <w:r w:rsidR="00C40F78" w:rsidRPr="007647C0">
        <w:rPr>
          <w:rFonts w:cstheme="minorHAnsi"/>
        </w:rPr>
        <w:t xml:space="preserve"> </w:t>
      </w:r>
    </w:p>
    <w:p w14:paraId="5C9C649A" w14:textId="5D9F5E9B" w:rsidR="00C40F78" w:rsidRPr="00B77164" w:rsidRDefault="00943A68" w:rsidP="00C40F78">
      <w:pPr>
        <w:pStyle w:val="ListParagraph"/>
        <w:numPr>
          <w:ilvl w:val="0"/>
          <w:numId w:val="10"/>
        </w:numPr>
      </w:pPr>
      <w:r w:rsidRPr="00943A68">
        <w:t xml:space="preserve">Zajmoprimac </w:t>
      </w:r>
      <w:r>
        <w:t>je odgovoran za to</w:t>
      </w:r>
      <w:r w:rsidRPr="00943A68">
        <w:t xml:space="preserve"> da se Projekat sprovodi u skladu sa Ekološkim i </w:t>
      </w:r>
      <w:r>
        <w:t>društvenim</w:t>
      </w:r>
      <w:r w:rsidRPr="00943A68">
        <w:t xml:space="preserve"> standardima (ESS) i </w:t>
      </w:r>
      <w:r w:rsidR="00695CD2">
        <w:t xml:space="preserve">ovim </w:t>
      </w:r>
      <w:r w:rsidRPr="00943A68">
        <w:t xml:space="preserve">Planom ekoloških i </w:t>
      </w:r>
      <w:r>
        <w:t>društvenih</w:t>
      </w:r>
      <w:r w:rsidRPr="00943A68">
        <w:t xml:space="preserve"> obaveza (ESCP), na način prihvatljiv za Banku. ESCP predstavlja sastavni deo Ugovora. Osim ako nije drugačije definisano u ovom ESCP-u, izrazi napisani velikim</w:t>
      </w:r>
      <w:r>
        <w:t xml:space="preserve"> slovom imaju značenje koje im je dodeljeno Ugovorom</w:t>
      </w:r>
      <w:r w:rsidR="00C40F78" w:rsidRPr="008729F8">
        <w:t>.</w:t>
      </w:r>
      <w:r w:rsidR="00C40F78" w:rsidRPr="00117450">
        <w:rPr>
          <w:rFonts w:ascii="Calibri" w:hAnsi="Calibri"/>
        </w:rPr>
        <w:t xml:space="preserve"> </w:t>
      </w:r>
    </w:p>
    <w:p w14:paraId="76CC4DEB" w14:textId="64CAE581" w:rsidR="00C40F78" w:rsidRPr="00A84EC6" w:rsidRDefault="00A84EC6" w:rsidP="00C40F78">
      <w:pPr>
        <w:pStyle w:val="ListParagraph"/>
        <w:numPr>
          <w:ilvl w:val="0"/>
          <w:numId w:val="10"/>
        </w:numPr>
        <w:rPr>
          <w:lang w:val="it-IT"/>
        </w:rPr>
      </w:pPr>
      <w:r w:rsidRPr="00A84EC6">
        <w:rPr>
          <w:rFonts w:ascii="Calibri" w:hAnsi="Calibri"/>
        </w:rPr>
        <w:t xml:space="preserve">Ne ograničavajući prethodno navedeno, ovim ESCP-om utvrđuju se ključne mere i aktivnosti koje će Zajmoprimac sprovesti ili </w:t>
      </w:r>
      <w:r w:rsidR="00695CD2">
        <w:rPr>
          <w:rFonts w:ascii="Calibri" w:hAnsi="Calibri"/>
          <w:lang w:val="sr-Latn-RS"/>
        </w:rPr>
        <w:t xml:space="preserve">će </w:t>
      </w:r>
      <w:r w:rsidRPr="00A84EC6">
        <w:rPr>
          <w:rFonts w:ascii="Calibri" w:hAnsi="Calibri"/>
        </w:rPr>
        <w:t xml:space="preserve">obezbediti njihovo sprovođenje, uključujući, prema potrebi, rokove, institucionalne aranžmane, kadrovske kapacitete, obuke, praćenje i izveštavanje, kao i mehanizme za upravljanje pritužbama. ESCP takođe utvrđuje </w:t>
      </w:r>
      <w:r w:rsidR="00695CD2">
        <w:rPr>
          <w:rFonts w:ascii="Calibri" w:hAnsi="Calibri"/>
        </w:rPr>
        <w:t>ekološka</w:t>
      </w:r>
      <w:r w:rsidRPr="00A84EC6">
        <w:rPr>
          <w:rFonts w:ascii="Calibri" w:hAnsi="Calibri"/>
        </w:rPr>
        <w:t xml:space="preserve"> i </w:t>
      </w:r>
      <w:r w:rsidR="00695CD2">
        <w:rPr>
          <w:rFonts w:ascii="Calibri" w:hAnsi="Calibri"/>
        </w:rPr>
        <w:t>društvena (E&amp;S) dokumenta koji će biti pripremljen ili ažurirana</w:t>
      </w:r>
      <w:r w:rsidRPr="00A84EC6">
        <w:rPr>
          <w:rFonts w:ascii="Calibri" w:hAnsi="Calibri"/>
        </w:rPr>
        <w:t xml:space="preserve">, predmet konsultacija, </w:t>
      </w:r>
      <w:r w:rsidR="00695CD2">
        <w:rPr>
          <w:rFonts w:ascii="Calibri" w:hAnsi="Calibri"/>
        </w:rPr>
        <w:t xml:space="preserve">a koji su </w:t>
      </w:r>
      <w:r w:rsidRPr="00A84EC6">
        <w:rPr>
          <w:rFonts w:ascii="Calibri" w:hAnsi="Calibri"/>
        </w:rPr>
        <w:t xml:space="preserve">objavljeni i sprovedeni u okviru Projekta, u skladu sa ESS standardima, u formi i sadržini </w:t>
      </w:r>
      <w:r w:rsidR="005B7B5A">
        <w:rPr>
          <w:rFonts w:ascii="Calibri" w:hAnsi="Calibri"/>
        </w:rPr>
        <w:t>koji su prihvatljivi</w:t>
      </w:r>
      <w:r w:rsidRPr="00A84EC6">
        <w:rPr>
          <w:rFonts w:ascii="Calibri" w:hAnsi="Calibri"/>
        </w:rPr>
        <w:t xml:space="preserve"> za Banku. </w:t>
      </w:r>
      <w:r w:rsidR="00695CD2">
        <w:rPr>
          <w:rFonts w:ascii="Calibri" w:hAnsi="Calibri"/>
          <w:lang w:val="it-IT"/>
        </w:rPr>
        <w:t xml:space="preserve">Navedena E&amp;S dokumenta </w:t>
      </w:r>
      <w:r w:rsidRPr="00A84EC6">
        <w:rPr>
          <w:rFonts w:ascii="Calibri" w:hAnsi="Calibri"/>
          <w:lang w:val="it-IT"/>
        </w:rPr>
        <w:t>mogu se povremeno revidirati uz prethodnu pisanu saglasnost Banke. U skladu sa odredbama navedenog Ugovora, Zajmoprimac će obezbediti dovoljna finansijska sredstva za pokrivanje troškova sprovođenja ESCP-a</w:t>
      </w:r>
      <w:r w:rsidR="00C40F78" w:rsidRPr="00A84EC6">
        <w:rPr>
          <w:rFonts w:ascii="Calibri" w:hAnsi="Calibri"/>
          <w:lang w:val="it-IT"/>
        </w:rPr>
        <w:t>.</w:t>
      </w:r>
    </w:p>
    <w:p w14:paraId="150DE5D4" w14:textId="5EE55993" w:rsidR="00802990" w:rsidRDefault="00E7007D" w:rsidP="00802990">
      <w:pPr>
        <w:pStyle w:val="ListParagraph"/>
        <w:numPr>
          <w:ilvl w:val="0"/>
          <w:numId w:val="10"/>
        </w:numPr>
        <w:ind w:left="810" w:hanging="450"/>
        <w:rPr>
          <w:rFonts w:ascii="Calibri" w:hAnsi="Calibri"/>
        </w:rPr>
      </w:pPr>
      <w:r w:rsidRPr="00E7007D">
        <w:rPr>
          <w:rFonts w:ascii="Calibri" w:hAnsi="Calibri"/>
          <w:lang w:val="it-IT"/>
        </w:rPr>
        <w:t xml:space="preserve">Kako su se Banka i Zajmoprimac saglasili, ovaj ESCP će se po potrebi povremeno revidirati radi odražavanja adaptivnog upravljanja promenama u okviru Projekta i nepredviđenih okolnosti ili kao odgovor na rezultate sprovođenja Projekta. U takvim okolnostima, Zajmoprimac i Banka saglasni su da ažuriraju ESCP </w:t>
      </w:r>
      <w:r w:rsidR="00695CD2">
        <w:rPr>
          <w:rFonts w:ascii="Calibri" w:hAnsi="Calibri"/>
          <w:lang w:val="it-IT"/>
        </w:rPr>
        <w:t>tako da odražava</w:t>
      </w:r>
      <w:r w:rsidRPr="00E7007D">
        <w:rPr>
          <w:rFonts w:ascii="Calibri" w:hAnsi="Calibri"/>
          <w:lang w:val="it-IT"/>
        </w:rPr>
        <w:t xml:space="preserve"> ove promene putem razmene pisama potpisanih između Banke i predstavnika Zajmoprimca određenog u Ugovoru ili direktora OITEG-a. </w:t>
      </w:r>
      <w:r w:rsidRPr="00E7007D">
        <w:rPr>
          <w:rFonts w:ascii="Calibri" w:hAnsi="Calibri"/>
        </w:rPr>
        <w:t>Zajmoprimac će bez odlaganja objaviti ažurirani ESCP</w:t>
      </w:r>
      <w:r w:rsidR="00C40F78" w:rsidRPr="71039F57">
        <w:rPr>
          <w:rFonts w:ascii="Calibri" w:hAnsi="Calibri"/>
        </w:rPr>
        <w:t>.</w:t>
      </w:r>
    </w:p>
    <w:p w14:paraId="55E7A3F5" w14:textId="332AE80F" w:rsidR="00171622" w:rsidRPr="00C20E34" w:rsidRDefault="004036E6" w:rsidP="00171622">
      <w:pPr>
        <w:pStyle w:val="ListParagraph"/>
        <w:numPr>
          <w:ilvl w:val="0"/>
          <w:numId w:val="10"/>
        </w:numPr>
        <w:rPr>
          <w:rFonts w:ascii="Calibri" w:hAnsi="Calibri"/>
          <w:lang w:val="it-IT"/>
        </w:rPr>
      </w:pPr>
      <w:r>
        <w:rPr>
          <w:rFonts w:ascii="Calibri" w:hAnsi="Calibri"/>
        </w:rPr>
        <w:t>Pod</w:t>
      </w:r>
      <w:r w:rsidR="00C20E34">
        <w:rPr>
          <w:rFonts w:ascii="Calibri" w:hAnsi="Calibri"/>
        </w:rPr>
        <w:t>odeljak “</w:t>
      </w:r>
      <w:r w:rsidR="00C20E34" w:rsidRPr="00C20E34">
        <w:rPr>
          <w:rFonts w:ascii="Calibri" w:hAnsi="Calibri"/>
        </w:rPr>
        <w:t xml:space="preserve">Pokazatelji spremnosti za </w:t>
      </w:r>
      <w:proofErr w:type="gramStart"/>
      <w:r w:rsidR="00C20E34" w:rsidRPr="00C20E34">
        <w:rPr>
          <w:rFonts w:ascii="Calibri" w:hAnsi="Calibri"/>
        </w:rPr>
        <w:t>sprovođenje“ u</w:t>
      </w:r>
      <w:proofErr w:type="gramEnd"/>
      <w:r w:rsidR="00C20E34" w:rsidRPr="00C20E34">
        <w:rPr>
          <w:rFonts w:ascii="Calibri" w:hAnsi="Calibri"/>
        </w:rPr>
        <w:t xml:space="preserve"> nastavku utvrđuje aktivnosti i mere koje će se pratiti radi procene spremnosti Projekta za početak sprovođenja u skladu sa ovim ESCP-om. </w:t>
      </w:r>
      <w:r w:rsidR="00C20E34" w:rsidRPr="00C20E34">
        <w:rPr>
          <w:rFonts w:ascii="Calibri" w:hAnsi="Calibri"/>
          <w:lang w:val="it-IT"/>
        </w:rPr>
        <w:t>Bez obzira na navedeno, sve aktivnosti i mere predviđene ovim ESCP-om sprovodiće se u rokovima utvrđenim u koloni „Rokovi“, nezavisno od toga da li su navedene u pomenutom pododeljku.</w:t>
      </w:r>
    </w:p>
    <w:p w14:paraId="2BC64E4B" w14:textId="3289C8D1" w:rsidR="00A32659" w:rsidRPr="00C20E34" w:rsidRDefault="00A32659" w:rsidP="00802990">
      <w:pPr>
        <w:pStyle w:val="ListParagraph"/>
        <w:numPr>
          <w:ilvl w:val="0"/>
          <w:numId w:val="10"/>
        </w:numPr>
        <w:ind w:left="810" w:hanging="450"/>
        <w:rPr>
          <w:rFonts w:ascii="Calibri" w:hAnsi="Calibri"/>
          <w:lang w:val="it-IT"/>
        </w:rPr>
        <w:sectPr w:rsidR="00A32659" w:rsidRPr="00C20E34" w:rsidSect="00667D94">
          <w:footerReference w:type="even" r:id="rId14"/>
          <w:footerReference w:type="default" r:id="rId15"/>
          <w:footerReference w:type="first" r:id="rId16"/>
          <w:pgSz w:w="12240" w:h="15840"/>
          <w:pgMar w:top="1440" w:right="1440" w:bottom="1440" w:left="144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615"/>
        <w:gridCol w:w="8152"/>
        <w:gridCol w:w="3072"/>
        <w:gridCol w:w="2109"/>
        <w:gridCol w:w="357"/>
      </w:tblGrid>
      <w:tr w:rsidR="007757EF" w:rsidRPr="00984C70" w14:paraId="331009CA" w14:textId="77777777" w:rsidTr="32DC1B58">
        <w:trPr>
          <w:gridAfter w:val="1"/>
          <w:wAfter w:w="360" w:type="dxa"/>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63C63730" w:rsidR="007757EF" w:rsidRPr="00984C70" w:rsidRDefault="00866706" w:rsidP="00C119D3">
            <w:pPr>
              <w:keepLines/>
              <w:widowControl w:val="0"/>
              <w:rPr>
                <w:rFonts w:cstheme="minorHAnsi"/>
                <w:b/>
                <w:bCs/>
              </w:rPr>
            </w:pPr>
            <w:r>
              <w:rPr>
                <w:rFonts w:cstheme="minorHAnsi"/>
                <w:b/>
                <w:bCs/>
              </w:rPr>
              <w:lastRenderedPageBreak/>
              <w:t>KONKRETNE MERE I AKTIVNOSTI</w:t>
            </w:r>
          </w:p>
        </w:tc>
        <w:tc>
          <w:tcPr>
            <w:tcW w:w="3150" w:type="dxa"/>
            <w:tcBorders>
              <w:top w:val="single" w:sz="4" w:space="0" w:color="000000" w:themeColor="text1"/>
            </w:tcBorders>
            <w:shd w:val="clear" w:color="auto" w:fill="C5E0B3" w:themeFill="accent6" w:themeFillTint="66"/>
          </w:tcPr>
          <w:p w14:paraId="42506930" w14:textId="41E379A4" w:rsidR="007757EF" w:rsidRPr="00984C70" w:rsidRDefault="00866706" w:rsidP="00C119D3">
            <w:pPr>
              <w:keepLines/>
              <w:widowControl w:val="0"/>
              <w:jc w:val="center"/>
              <w:rPr>
                <w:rFonts w:cstheme="minorHAnsi"/>
                <w:b/>
              </w:rPr>
            </w:pPr>
            <w:r>
              <w:rPr>
                <w:rFonts w:cstheme="minorHAnsi"/>
                <w:b/>
              </w:rPr>
              <w:t>VREMENSKI OKVIR</w:t>
            </w:r>
          </w:p>
        </w:tc>
        <w:tc>
          <w:tcPr>
            <w:tcW w:w="2160" w:type="dxa"/>
            <w:tcBorders>
              <w:top w:val="single" w:sz="4" w:space="0" w:color="000000" w:themeColor="text1"/>
            </w:tcBorders>
            <w:shd w:val="clear" w:color="auto" w:fill="C5E0B3" w:themeFill="accent6" w:themeFillTint="66"/>
          </w:tcPr>
          <w:p w14:paraId="21E04050" w14:textId="22175A1D" w:rsidR="007757EF" w:rsidRPr="00984C70" w:rsidRDefault="00866706" w:rsidP="00C119D3">
            <w:pPr>
              <w:keepLines/>
              <w:widowControl w:val="0"/>
              <w:jc w:val="center"/>
              <w:rPr>
                <w:rFonts w:cstheme="minorHAnsi"/>
                <w:b/>
              </w:rPr>
            </w:pPr>
            <w:r>
              <w:rPr>
                <w:rFonts w:cstheme="minorHAnsi"/>
                <w:b/>
              </w:rPr>
              <w:t>ODGOVORNO TELO</w:t>
            </w:r>
          </w:p>
        </w:tc>
      </w:tr>
      <w:tr w:rsidR="007757EF" w:rsidRPr="00984C70" w14:paraId="0595B062" w14:textId="77777777" w:rsidTr="32DC1B58">
        <w:trPr>
          <w:gridAfter w:val="1"/>
          <w:wAfter w:w="360" w:type="dxa"/>
          <w:cantSplit/>
          <w:trHeight w:val="20"/>
        </w:trPr>
        <w:tc>
          <w:tcPr>
            <w:tcW w:w="14305" w:type="dxa"/>
            <w:gridSpan w:val="4"/>
            <w:tcBorders>
              <w:bottom w:val="single" w:sz="4" w:space="0" w:color="auto"/>
            </w:tcBorders>
            <w:shd w:val="clear" w:color="auto" w:fill="F4B083" w:themeFill="accent2" w:themeFillTint="99"/>
          </w:tcPr>
          <w:p w14:paraId="0954643A" w14:textId="6689B3F0" w:rsidR="007757EF" w:rsidRPr="00984C70" w:rsidRDefault="00866706" w:rsidP="00C119D3">
            <w:pPr>
              <w:keepLines/>
              <w:widowControl w:val="0"/>
              <w:rPr>
                <w:rFonts w:cstheme="minorHAnsi"/>
                <w:b/>
              </w:rPr>
            </w:pPr>
            <w:r w:rsidRPr="00866706">
              <w:rPr>
                <w:rFonts w:cstheme="minorHAnsi"/>
                <w:b/>
              </w:rPr>
              <w:t>ARANŽMANI ZA IMPLEMENTACIJU I PODRŠKA KAPACITETIMA</w:t>
            </w:r>
            <w:r w:rsidR="007757EF" w:rsidRPr="00984C70">
              <w:rPr>
                <w:rStyle w:val="FootnoteReference"/>
                <w:rFonts w:eastAsia="Times New Roman" w:cstheme="minorHAnsi"/>
                <w:sz w:val="22"/>
              </w:rPr>
              <w:footnoteReference w:id="1"/>
            </w:r>
          </w:p>
        </w:tc>
      </w:tr>
      <w:tr w:rsidR="007757EF" w:rsidRPr="00984C70" w14:paraId="3C68B012" w14:textId="77777777" w:rsidTr="32DC1B58">
        <w:trPr>
          <w:gridAfter w:val="1"/>
          <w:wAfter w:w="360" w:type="dxa"/>
          <w:cantSplit/>
          <w:trHeight w:val="20"/>
        </w:trPr>
        <w:tc>
          <w:tcPr>
            <w:tcW w:w="625" w:type="dxa"/>
            <w:tcBorders>
              <w:bottom w:val="single" w:sz="4" w:space="0" w:color="auto"/>
            </w:tcBorders>
          </w:tcPr>
          <w:p w14:paraId="5A9C52A0" w14:textId="77777777" w:rsidR="007757EF" w:rsidRPr="00984C70" w:rsidRDefault="007757EF" w:rsidP="00C119D3">
            <w:pPr>
              <w:keepLines/>
              <w:widowControl w:val="0"/>
              <w:rPr>
                <w:rFonts w:cstheme="minorHAnsi"/>
                <w:b/>
              </w:rPr>
            </w:pPr>
            <w:r w:rsidRPr="00984C70">
              <w:rPr>
                <w:rFonts w:cstheme="minorHAnsi"/>
              </w:rPr>
              <w:t>A</w:t>
            </w:r>
          </w:p>
        </w:tc>
        <w:tc>
          <w:tcPr>
            <w:tcW w:w="8370" w:type="dxa"/>
            <w:tcBorders>
              <w:bottom w:val="single" w:sz="4" w:space="0" w:color="auto"/>
            </w:tcBorders>
          </w:tcPr>
          <w:p w14:paraId="2E2D103C" w14:textId="3EFFEBE0" w:rsidR="007757EF" w:rsidRPr="00984C70" w:rsidRDefault="00866706" w:rsidP="00313EB9">
            <w:pPr>
              <w:keepLines/>
              <w:widowControl w:val="0"/>
              <w:jc w:val="both"/>
              <w:rPr>
                <w:rFonts w:cstheme="minorHAnsi"/>
                <w:b/>
                <w:color w:val="4472C4" w:themeColor="accent1"/>
              </w:rPr>
            </w:pPr>
            <w:r>
              <w:rPr>
                <w:rFonts w:cstheme="minorHAnsi"/>
                <w:b/>
                <w:color w:val="4472C4" w:themeColor="accent1"/>
              </w:rPr>
              <w:t>ORGANIZACIONA STRUKTURA</w:t>
            </w:r>
            <w:r w:rsidR="019CBCA7" w:rsidRPr="00984C70">
              <w:rPr>
                <w:rFonts w:eastAsia="Times New Roman" w:cstheme="minorHAnsi"/>
                <w:color w:val="4472C4" w:themeColor="accent1"/>
              </w:rPr>
              <w:t xml:space="preserve"> </w:t>
            </w:r>
          </w:p>
          <w:p w14:paraId="241C21D0" w14:textId="11754002" w:rsidR="007757EF" w:rsidRPr="00984C70" w:rsidRDefault="00866706" w:rsidP="00313EB9">
            <w:pPr>
              <w:keepLines/>
              <w:widowControl w:val="0"/>
              <w:jc w:val="both"/>
              <w:rPr>
                <w:rFonts w:cstheme="minorHAnsi"/>
              </w:rPr>
            </w:pPr>
            <w:r w:rsidRPr="00866706">
              <w:rPr>
                <w:rFonts w:cstheme="minorHAnsi"/>
              </w:rPr>
              <w:t xml:space="preserve">Uspostaviti i održavati Jedinicu za implementaciju projekta u okviru OITEG-a (PIU) sa kvalifikovanim osobljem i resursima radi podrške upravljanju ekološkim, </w:t>
            </w:r>
            <w:r w:rsidR="00695CD2">
              <w:rPr>
                <w:rFonts w:cstheme="minorHAnsi"/>
              </w:rPr>
              <w:t>društvenim</w:t>
            </w:r>
            <w:r w:rsidRPr="00866706">
              <w:rPr>
                <w:rFonts w:cstheme="minorHAnsi"/>
              </w:rPr>
              <w:t xml:space="preserve">, zdravstvenim i bezbednosnim (E&amp;S) rizicima i uticajima Projekta, uključujući stručnjaka za </w:t>
            </w:r>
            <w:r w:rsidR="00695CD2">
              <w:rPr>
                <w:rFonts w:cstheme="minorHAnsi"/>
              </w:rPr>
              <w:t>društvena</w:t>
            </w:r>
            <w:r w:rsidRPr="00866706">
              <w:rPr>
                <w:rFonts w:cstheme="minorHAnsi"/>
              </w:rPr>
              <w:t xml:space="preserve"> pitanja/komunikaciju i stručnjaka za zaštitu životne sredine</w:t>
            </w:r>
            <w:r w:rsidR="00CD6EE7" w:rsidRPr="00984C70">
              <w:rPr>
                <w:rFonts w:cstheme="minorHAnsi"/>
              </w:rPr>
              <w:t xml:space="preserve">. </w:t>
            </w:r>
          </w:p>
          <w:p w14:paraId="6649FD14" w14:textId="77777777" w:rsidR="007757EF" w:rsidRPr="00984C70" w:rsidRDefault="007757EF" w:rsidP="00313EB9">
            <w:pPr>
              <w:pStyle w:val="ModelNrmlSingle"/>
              <w:keepLines/>
              <w:widowControl w:val="0"/>
              <w:spacing w:after="0"/>
              <w:ind w:firstLine="0"/>
              <w:rPr>
                <w:rFonts w:asciiTheme="minorHAnsi" w:hAnsiTheme="minorHAnsi" w:cstheme="minorHAnsi"/>
                <w:szCs w:val="22"/>
              </w:rPr>
            </w:pPr>
          </w:p>
          <w:p w14:paraId="0C3A8138" w14:textId="76ED1319" w:rsidR="007757EF" w:rsidRPr="00984C70" w:rsidRDefault="007757EF" w:rsidP="00313EB9">
            <w:pPr>
              <w:keepLines/>
              <w:widowControl w:val="0"/>
              <w:jc w:val="both"/>
              <w:rPr>
                <w:rFonts w:cstheme="minorHAnsi"/>
                <w:b/>
              </w:rPr>
            </w:pPr>
          </w:p>
        </w:tc>
        <w:tc>
          <w:tcPr>
            <w:tcW w:w="3150" w:type="dxa"/>
            <w:tcBorders>
              <w:bottom w:val="single" w:sz="4" w:space="0" w:color="auto"/>
            </w:tcBorders>
          </w:tcPr>
          <w:p w14:paraId="7D23213C" w14:textId="43204992" w:rsidR="00866706" w:rsidRPr="00866706" w:rsidRDefault="00866706" w:rsidP="00866706">
            <w:pPr>
              <w:keepLines/>
              <w:widowControl w:val="0"/>
              <w:jc w:val="both"/>
              <w:rPr>
                <w:rFonts w:cstheme="minorHAnsi"/>
                <w:lang w:val="en-GB"/>
              </w:rPr>
            </w:pPr>
            <w:r w:rsidRPr="00866706">
              <w:rPr>
                <w:rFonts w:cstheme="minorHAnsi"/>
                <w:lang w:val="en-GB"/>
              </w:rPr>
              <w:t>Uspostaviti</w:t>
            </w:r>
            <w:r>
              <w:rPr>
                <w:rFonts w:cstheme="minorHAnsi"/>
                <w:lang w:val="en-GB"/>
              </w:rPr>
              <w:t xml:space="preserve"> PIU i angažovati ili imenovati </w:t>
            </w:r>
            <w:r w:rsidRPr="00866706">
              <w:rPr>
                <w:rFonts w:cstheme="minorHAnsi"/>
                <w:lang w:val="en-GB"/>
              </w:rPr>
              <w:t>jednog honorarnog stručnjaka za zaš</w:t>
            </w:r>
            <w:r>
              <w:rPr>
                <w:rFonts w:cstheme="minorHAnsi"/>
                <w:lang w:val="en-GB"/>
              </w:rPr>
              <w:t xml:space="preserve">titu životne sredine, </w:t>
            </w:r>
            <w:r w:rsidRPr="00866706">
              <w:rPr>
                <w:rFonts w:cstheme="minorHAnsi"/>
                <w:lang w:val="en-GB"/>
              </w:rPr>
              <w:t xml:space="preserve">jednog stručnjaka za </w:t>
            </w:r>
            <w:r>
              <w:rPr>
                <w:rFonts w:cstheme="minorHAnsi"/>
                <w:lang w:val="en-GB"/>
              </w:rPr>
              <w:t>dru</w:t>
            </w:r>
            <w:r>
              <w:rPr>
                <w:rFonts w:cstheme="minorHAnsi"/>
                <w:lang w:val="sr-Latn-RS"/>
              </w:rPr>
              <w:t>štvena</w:t>
            </w:r>
            <w:r w:rsidRPr="00866706">
              <w:rPr>
                <w:rFonts w:cstheme="minorHAnsi"/>
                <w:lang w:val="en-GB"/>
              </w:rPr>
              <w:t xml:space="preserve"> pitanja/komunikaciju sa punim radnim vremenom, </w:t>
            </w:r>
          </w:p>
          <w:p w14:paraId="3B7BFA98" w14:textId="7C78A86F" w:rsidR="007757EF" w:rsidRPr="00866706" w:rsidRDefault="00866706" w:rsidP="00313EB9">
            <w:pPr>
              <w:keepLines/>
              <w:widowControl w:val="0"/>
              <w:jc w:val="both"/>
              <w:rPr>
                <w:rFonts w:cstheme="minorHAnsi"/>
                <w:lang w:val="en-GB"/>
              </w:rPr>
            </w:pPr>
            <w:r w:rsidRPr="00866706">
              <w:rPr>
                <w:rFonts w:cstheme="minorHAnsi"/>
                <w:lang w:val="en-GB"/>
              </w:rPr>
              <w:t xml:space="preserve">najkasnije tri meseca nakon stupanja na snagu Ugovora o zajmu („Datum stupanja na </w:t>
            </w:r>
            <w:proofErr w:type="gramStart"/>
            <w:r w:rsidRPr="00866706">
              <w:rPr>
                <w:rFonts w:cstheme="minorHAnsi"/>
                <w:lang w:val="en-GB"/>
              </w:rPr>
              <w:t>snagu“</w:t>
            </w:r>
            <w:proofErr w:type="gramEnd"/>
            <w:r w:rsidRPr="00866706">
              <w:rPr>
                <w:rFonts w:cstheme="minorHAnsi"/>
                <w:lang w:val="en-GB"/>
              </w:rPr>
              <w:t>), a potom održavati PIU i navedene pozicije tokom celokupne implementacije Projekta</w:t>
            </w:r>
            <w:r>
              <w:rPr>
                <w:rFonts w:cstheme="minorHAnsi"/>
                <w:lang w:val="en-GB"/>
              </w:rPr>
              <w:t>.</w:t>
            </w:r>
          </w:p>
          <w:p w14:paraId="1E495B00" w14:textId="77777777" w:rsidR="007757EF" w:rsidRPr="00984C70" w:rsidRDefault="007757EF" w:rsidP="00313EB9">
            <w:pPr>
              <w:keepLines/>
              <w:widowControl w:val="0"/>
              <w:jc w:val="both"/>
              <w:rPr>
                <w:rFonts w:eastAsia="Times New Roman" w:cstheme="minorHAnsi"/>
              </w:rPr>
            </w:pPr>
          </w:p>
          <w:p w14:paraId="7F34C59F" w14:textId="4FC81581" w:rsidR="007757EF" w:rsidRPr="00984C70" w:rsidRDefault="007757EF" w:rsidP="00313EB9">
            <w:pPr>
              <w:keepLines/>
              <w:widowControl w:val="0"/>
              <w:jc w:val="both"/>
              <w:rPr>
                <w:rFonts w:cstheme="minorHAnsi"/>
                <w:b/>
              </w:rPr>
            </w:pPr>
          </w:p>
        </w:tc>
        <w:tc>
          <w:tcPr>
            <w:tcW w:w="2160" w:type="dxa"/>
            <w:tcBorders>
              <w:bottom w:val="single" w:sz="4" w:space="0" w:color="auto"/>
            </w:tcBorders>
          </w:tcPr>
          <w:p w14:paraId="268E4E90" w14:textId="53088FE7" w:rsidR="007757EF" w:rsidRPr="00984C70" w:rsidRDefault="00FC5755" w:rsidP="00C119D3">
            <w:pPr>
              <w:keepLines/>
              <w:widowControl w:val="0"/>
              <w:rPr>
                <w:rFonts w:cstheme="minorHAnsi"/>
                <w:b/>
              </w:rPr>
            </w:pPr>
            <w:r w:rsidRPr="00984C70">
              <w:rPr>
                <w:rFonts w:cstheme="minorHAnsi"/>
                <w:b/>
              </w:rPr>
              <w:t>OITEG</w:t>
            </w:r>
          </w:p>
        </w:tc>
      </w:tr>
      <w:tr w:rsidR="004815BD" w:rsidRPr="00984C70" w14:paraId="160128D3" w14:textId="77777777" w:rsidTr="32DC1B58">
        <w:trPr>
          <w:gridAfter w:val="1"/>
          <w:wAfter w:w="360" w:type="dxa"/>
          <w:cantSplit/>
          <w:trHeight w:val="20"/>
        </w:trPr>
        <w:tc>
          <w:tcPr>
            <w:tcW w:w="625" w:type="dxa"/>
            <w:tcBorders>
              <w:bottom w:val="single" w:sz="4" w:space="0" w:color="auto"/>
            </w:tcBorders>
          </w:tcPr>
          <w:p w14:paraId="17378081" w14:textId="77777777" w:rsidR="004815BD" w:rsidRPr="00984C70" w:rsidRDefault="004815BD" w:rsidP="004815BD">
            <w:pPr>
              <w:keepLines/>
              <w:widowControl w:val="0"/>
              <w:rPr>
                <w:rFonts w:cstheme="minorHAnsi"/>
                <w:b/>
              </w:rPr>
            </w:pPr>
            <w:r w:rsidRPr="00984C70">
              <w:rPr>
                <w:rFonts w:cstheme="minorHAnsi"/>
              </w:rPr>
              <w:t>B</w:t>
            </w:r>
          </w:p>
        </w:tc>
        <w:tc>
          <w:tcPr>
            <w:tcW w:w="8370" w:type="dxa"/>
            <w:tcBorders>
              <w:bottom w:val="single" w:sz="4" w:space="0" w:color="auto"/>
            </w:tcBorders>
          </w:tcPr>
          <w:p w14:paraId="47497FCC" w14:textId="5A8EDF76" w:rsidR="004815BD" w:rsidRPr="00984C70" w:rsidRDefault="00866706" w:rsidP="00313EB9">
            <w:pPr>
              <w:jc w:val="both"/>
              <w:rPr>
                <w:rFonts w:cstheme="minorHAnsi"/>
                <w:b/>
                <w:color w:val="4472C4" w:themeColor="accent1"/>
              </w:rPr>
            </w:pPr>
            <w:r w:rsidRPr="00866706">
              <w:rPr>
                <w:rFonts w:cstheme="minorHAnsi"/>
                <w:b/>
                <w:color w:val="4472C4" w:themeColor="accent1"/>
              </w:rPr>
              <w:t>PLAN/MERE JAČANJA KAPACITETA</w:t>
            </w:r>
          </w:p>
          <w:p w14:paraId="265704A5" w14:textId="3A84A3F2" w:rsidR="00866706" w:rsidRPr="00866706" w:rsidRDefault="00866706" w:rsidP="00866706">
            <w:pPr>
              <w:keepLines/>
              <w:widowControl w:val="0"/>
              <w:jc w:val="both"/>
              <w:rPr>
                <w:rFonts w:cstheme="minorHAnsi"/>
                <w:lang w:val="en-GB"/>
              </w:rPr>
            </w:pPr>
            <w:r w:rsidRPr="00866706">
              <w:rPr>
                <w:rFonts w:cstheme="minorHAnsi"/>
                <w:lang w:val="en-GB"/>
              </w:rPr>
              <w:t>Pripremiti i sprovesti sledeće mere jačanja kapaciteta:</w:t>
            </w:r>
          </w:p>
          <w:p w14:paraId="11903450" w14:textId="226AC52D" w:rsidR="004815BD" w:rsidRPr="00866706" w:rsidRDefault="00866706" w:rsidP="00866706">
            <w:pPr>
              <w:keepLines/>
              <w:widowControl w:val="0"/>
              <w:jc w:val="both"/>
              <w:rPr>
                <w:rFonts w:cstheme="minorHAnsi"/>
                <w:lang w:val="en-GB"/>
              </w:rPr>
            </w:pPr>
            <w:r w:rsidRPr="00866706">
              <w:rPr>
                <w:rFonts w:cstheme="minorHAnsi"/>
                <w:lang w:val="en-GB"/>
              </w:rPr>
              <w:t>Obuka za PIU i relevantne zainteresovane strane o ključnim E&amp;S pitanjima</w:t>
            </w:r>
            <w:r>
              <w:rPr>
                <w:rFonts w:cstheme="minorHAnsi"/>
                <w:lang w:val="en-GB"/>
              </w:rPr>
              <w:t xml:space="preserve"> u okviru projekta, uključujući </w:t>
            </w:r>
            <w:r w:rsidRPr="00866706">
              <w:rPr>
                <w:rFonts w:cstheme="minorHAnsi"/>
                <w:lang w:val="en-GB"/>
              </w:rPr>
              <w:t>E&amp;S skrining, Kodeks ponašanja, uključivanje zainteresovanih strana, odgovornu upotrebu veštačke inteligencije.</w:t>
            </w:r>
          </w:p>
        </w:tc>
        <w:tc>
          <w:tcPr>
            <w:tcW w:w="3150" w:type="dxa"/>
            <w:tcBorders>
              <w:bottom w:val="single" w:sz="4" w:space="0" w:color="auto"/>
            </w:tcBorders>
          </w:tcPr>
          <w:p w14:paraId="6433962F" w14:textId="152A593D" w:rsidR="004815BD" w:rsidRPr="00984C70" w:rsidRDefault="00866706" w:rsidP="00313EB9">
            <w:pPr>
              <w:keepLines/>
              <w:widowControl w:val="0"/>
              <w:jc w:val="both"/>
              <w:rPr>
                <w:rFonts w:cstheme="minorHAnsi"/>
                <w:b/>
              </w:rPr>
            </w:pPr>
            <w:r>
              <w:rPr>
                <w:rFonts w:cstheme="minorHAnsi"/>
              </w:rPr>
              <w:t xml:space="preserve">30 </w:t>
            </w:r>
            <w:r w:rsidRPr="00866706">
              <w:rPr>
                <w:rFonts w:cstheme="minorHAnsi"/>
              </w:rPr>
              <w:t>dana nakon uspostavljanja PIU i imenovanja E&amp;S stručnjaka</w:t>
            </w:r>
            <w:r w:rsidR="004815BD" w:rsidRPr="00984C70">
              <w:rPr>
                <w:rFonts w:cstheme="minorHAnsi"/>
              </w:rPr>
              <w:t>.</w:t>
            </w:r>
          </w:p>
        </w:tc>
        <w:tc>
          <w:tcPr>
            <w:tcW w:w="2160" w:type="dxa"/>
            <w:tcBorders>
              <w:bottom w:val="single" w:sz="4" w:space="0" w:color="auto"/>
            </w:tcBorders>
          </w:tcPr>
          <w:p w14:paraId="2A1580F6" w14:textId="75026239" w:rsidR="004815BD" w:rsidRPr="00984C70" w:rsidRDefault="004815BD" w:rsidP="004815BD">
            <w:pPr>
              <w:keepLines/>
              <w:widowControl w:val="0"/>
              <w:rPr>
                <w:rFonts w:cstheme="minorHAnsi"/>
                <w:b/>
              </w:rPr>
            </w:pPr>
            <w:r w:rsidRPr="00984C70">
              <w:rPr>
                <w:rFonts w:cstheme="minorHAnsi"/>
                <w:b/>
              </w:rPr>
              <w:t>OITEG</w:t>
            </w:r>
            <w:r w:rsidR="00A30982" w:rsidRPr="00984C70">
              <w:rPr>
                <w:rFonts w:cstheme="minorHAnsi"/>
                <w:b/>
              </w:rPr>
              <w:t>/</w:t>
            </w:r>
            <w:r w:rsidR="006E5884" w:rsidRPr="00984C70">
              <w:rPr>
                <w:rFonts w:cstheme="minorHAnsi"/>
                <w:b/>
              </w:rPr>
              <w:t>Bank</w:t>
            </w:r>
            <w:r w:rsidR="00866706">
              <w:rPr>
                <w:rFonts w:cstheme="minorHAnsi"/>
                <w:b/>
              </w:rPr>
              <w:t>A</w:t>
            </w:r>
          </w:p>
        </w:tc>
      </w:tr>
      <w:tr w:rsidR="004815BD" w:rsidRPr="00984C70" w14:paraId="07469B7C" w14:textId="77777777" w:rsidTr="32DC1B58">
        <w:trPr>
          <w:gridAfter w:val="1"/>
          <w:wAfter w:w="360" w:type="dxa"/>
          <w:cantSplit/>
          <w:trHeight w:val="300"/>
        </w:trPr>
        <w:tc>
          <w:tcPr>
            <w:tcW w:w="14305" w:type="dxa"/>
            <w:gridSpan w:val="4"/>
            <w:tcBorders>
              <w:bottom w:val="single" w:sz="4" w:space="0" w:color="auto"/>
            </w:tcBorders>
            <w:shd w:val="clear" w:color="auto" w:fill="F4B083" w:themeFill="accent2" w:themeFillTint="99"/>
          </w:tcPr>
          <w:p w14:paraId="4587D6C2" w14:textId="5D808D52" w:rsidR="004815BD" w:rsidRPr="00984C70" w:rsidDel="00777D1F" w:rsidRDefault="00866706" w:rsidP="004815BD">
            <w:pPr>
              <w:keepLines/>
              <w:widowControl w:val="0"/>
              <w:rPr>
                <w:rFonts w:cstheme="minorHAnsi"/>
              </w:rPr>
            </w:pPr>
            <w:r>
              <w:rPr>
                <w:rFonts w:cstheme="minorHAnsi"/>
                <w:b/>
              </w:rPr>
              <w:t>MONITORING I IZVEŠTAVANJE</w:t>
            </w:r>
          </w:p>
        </w:tc>
      </w:tr>
      <w:tr w:rsidR="004815BD" w:rsidRPr="00984C70" w14:paraId="7D03439F" w14:textId="77777777" w:rsidTr="32DC1B58">
        <w:trPr>
          <w:gridAfter w:val="1"/>
          <w:wAfter w:w="360" w:type="dxa"/>
          <w:trHeight w:val="20"/>
        </w:trPr>
        <w:tc>
          <w:tcPr>
            <w:tcW w:w="625" w:type="dxa"/>
            <w:tcBorders>
              <w:bottom w:val="single" w:sz="4" w:space="0" w:color="auto"/>
            </w:tcBorders>
          </w:tcPr>
          <w:p w14:paraId="3AC790B4" w14:textId="77777777" w:rsidR="004815BD" w:rsidRPr="00984C70" w:rsidRDefault="004815BD" w:rsidP="004815BD">
            <w:pPr>
              <w:keepLines/>
              <w:widowControl w:val="0"/>
              <w:jc w:val="center"/>
              <w:rPr>
                <w:rFonts w:cstheme="minorHAnsi"/>
              </w:rPr>
            </w:pPr>
            <w:r w:rsidRPr="00984C70">
              <w:rPr>
                <w:rFonts w:cstheme="minorHAnsi"/>
              </w:rPr>
              <w:t>C</w:t>
            </w:r>
          </w:p>
        </w:tc>
        <w:tc>
          <w:tcPr>
            <w:tcW w:w="8370" w:type="dxa"/>
            <w:tcBorders>
              <w:bottom w:val="single" w:sz="4" w:space="0" w:color="auto"/>
            </w:tcBorders>
          </w:tcPr>
          <w:p w14:paraId="15072D20" w14:textId="229DF228" w:rsidR="004815BD" w:rsidRPr="00984C70" w:rsidRDefault="00866706" w:rsidP="00A30982">
            <w:pPr>
              <w:keepLines/>
              <w:widowControl w:val="0"/>
              <w:jc w:val="both"/>
              <w:rPr>
                <w:rFonts w:cstheme="minorHAnsi"/>
              </w:rPr>
            </w:pPr>
            <w:r>
              <w:rPr>
                <w:rFonts w:cstheme="minorHAnsi"/>
                <w:b/>
                <w:color w:val="4472C4" w:themeColor="accent1"/>
              </w:rPr>
              <w:t>REDOVNO IZVEŠTAVANJE</w:t>
            </w:r>
          </w:p>
          <w:p w14:paraId="69C55EC3" w14:textId="77777777" w:rsidR="004815BD" w:rsidRPr="00984C70" w:rsidRDefault="004815BD" w:rsidP="00A30982">
            <w:pPr>
              <w:keepLines/>
              <w:widowControl w:val="0"/>
              <w:jc w:val="both"/>
              <w:rPr>
                <w:rFonts w:cstheme="minorHAnsi"/>
              </w:rPr>
            </w:pPr>
          </w:p>
          <w:p w14:paraId="53D15E84" w14:textId="11CA6E6B" w:rsidR="004815BD" w:rsidRPr="00866706" w:rsidRDefault="00866706" w:rsidP="00A30982">
            <w:pPr>
              <w:keepLines/>
              <w:widowControl w:val="0"/>
              <w:jc w:val="both"/>
              <w:rPr>
                <w:rFonts w:cstheme="minorHAnsi"/>
                <w:lang w:val="en-GB"/>
              </w:rPr>
            </w:pPr>
            <w:r w:rsidRPr="00866706">
              <w:rPr>
                <w:rFonts w:cstheme="minorHAnsi"/>
                <w:lang w:val="en-GB"/>
              </w:rPr>
              <w:t xml:space="preserve">Pripremati i dostavljati Banci redovne izveštaje o praćenju ekoloških, </w:t>
            </w:r>
            <w:r>
              <w:rPr>
                <w:rFonts w:cstheme="minorHAnsi"/>
                <w:lang w:val="en-GB"/>
              </w:rPr>
              <w:t>društvenih</w:t>
            </w:r>
            <w:r w:rsidRPr="00866706">
              <w:rPr>
                <w:rFonts w:cstheme="minorHAnsi"/>
                <w:lang w:val="en-GB"/>
              </w:rPr>
              <w:t>, zdravstvenih i bezbednosnih (E&amp;S) performansi Projekta.</w:t>
            </w:r>
            <w:r>
              <w:rPr>
                <w:rFonts w:cstheme="minorHAnsi"/>
                <w:lang w:val="en-GB"/>
              </w:rPr>
              <w:t xml:space="preserve"> </w:t>
            </w:r>
            <w:r w:rsidRPr="00866706">
              <w:rPr>
                <w:rFonts w:cstheme="minorHAnsi"/>
                <w:lang w:val="en-GB"/>
              </w:rPr>
              <w:t>Izveštaji treba da sadrže</w:t>
            </w:r>
          </w:p>
          <w:p w14:paraId="2223DB93" w14:textId="77777777" w:rsidR="004815BD" w:rsidRPr="00984C70" w:rsidRDefault="004815BD" w:rsidP="00A30982">
            <w:pPr>
              <w:keepLines/>
              <w:widowControl w:val="0"/>
              <w:jc w:val="both"/>
              <w:rPr>
                <w:rFonts w:cstheme="minorHAnsi"/>
              </w:rPr>
            </w:pPr>
          </w:p>
          <w:p w14:paraId="54AB6646" w14:textId="7558FC82" w:rsidR="004815BD" w:rsidRPr="00984C70" w:rsidRDefault="00866706" w:rsidP="00A30982">
            <w:pPr>
              <w:pStyle w:val="ListParagraph"/>
              <w:keepLines/>
              <w:widowControl w:val="0"/>
              <w:numPr>
                <w:ilvl w:val="0"/>
                <w:numId w:val="3"/>
              </w:numPr>
              <w:ind w:left="421"/>
              <w:rPr>
                <w:rFonts w:cstheme="minorHAnsi"/>
              </w:rPr>
            </w:pPr>
            <w:r>
              <w:rPr>
                <w:rFonts w:cstheme="minorHAnsi"/>
              </w:rPr>
              <w:t>S</w:t>
            </w:r>
            <w:r w:rsidRPr="00866706">
              <w:rPr>
                <w:rFonts w:cstheme="minorHAnsi"/>
              </w:rPr>
              <w:t>tatus pripreme i sprovođenja E&amp;S dokumenata zahtevanih prema ESCP-u</w:t>
            </w:r>
            <w:r w:rsidR="004815BD" w:rsidRPr="00984C70">
              <w:rPr>
                <w:rFonts w:cstheme="minorHAnsi"/>
              </w:rPr>
              <w:t xml:space="preserve">. </w:t>
            </w:r>
          </w:p>
          <w:p w14:paraId="4E7F7D65" w14:textId="595C9BE5" w:rsidR="004815BD" w:rsidRPr="00984C70" w:rsidRDefault="00866706" w:rsidP="00A30982">
            <w:pPr>
              <w:pStyle w:val="ListParagraph"/>
              <w:keepLines/>
              <w:widowControl w:val="0"/>
              <w:numPr>
                <w:ilvl w:val="0"/>
                <w:numId w:val="3"/>
              </w:numPr>
              <w:ind w:left="421"/>
              <w:rPr>
                <w:rFonts w:cstheme="minorHAnsi"/>
              </w:rPr>
            </w:pPr>
            <w:r>
              <w:rPr>
                <w:rFonts w:cstheme="minorHAnsi"/>
              </w:rPr>
              <w:t>S</w:t>
            </w:r>
            <w:r w:rsidRPr="00866706">
              <w:rPr>
                <w:rFonts w:cstheme="minorHAnsi"/>
              </w:rPr>
              <w:t>ažetak aktivnosti uključivanja zainteresovanih strana sprovedenih u skladu sa Planom uključivanja zainteresovanih strana</w:t>
            </w:r>
            <w:r w:rsidR="004815BD" w:rsidRPr="00984C70">
              <w:rPr>
                <w:rFonts w:cstheme="minorHAnsi"/>
              </w:rPr>
              <w:t>.</w:t>
            </w:r>
          </w:p>
          <w:p w14:paraId="0BFA7019" w14:textId="64F7D8E0" w:rsidR="004815BD" w:rsidRPr="00984C70" w:rsidRDefault="007E6DF6" w:rsidP="00A30982">
            <w:pPr>
              <w:pStyle w:val="ListParagraph"/>
              <w:keepLines/>
              <w:widowControl w:val="0"/>
              <w:numPr>
                <w:ilvl w:val="0"/>
                <w:numId w:val="3"/>
              </w:numPr>
              <w:ind w:left="421"/>
              <w:rPr>
                <w:rFonts w:cstheme="minorHAnsi"/>
              </w:rPr>
            </w:pPr>
            <w:r>
              <w:rPr>
                <w:rFonts w:cstheme="minorHAnsi"/>
              </w:rPr>
              <w:lastRenderedPageBreak/>
              <w:t>P</w:t>
            </w:r>
            <w:r w:rsidRPr="007E6DF6">
              <w:rPr>
                <w:rFonts w:cstheme="minorHAnsi"/>
              </w:rPr>
              <w:t>ritužbe podnete putem mehanizma za rešavanje pritužbi, evidenciju pritužbi i napredak ostvaren u njihovom rešavanju</w:t>
            </w:r>
            <w:r w:rsidR="004815BD" w:rsidRPr="00984C70">
              <w:rPr>
                <w:rFonts w:cstheme="minorHAnsi"/>
              </w:rPr>
              <w:t xml:space="preserve">.   </w:t>
            </w:r>
          </w:p>
          <w:p w14:paraId="21AB31D8" w14:textId="1750C657" w:rsidR="004815BD" w:rsidRPr="00984C70" w:rsidRDefault="007E6DF6" w:rsidP="00A30982">
            <w:pPr>
              <w:pStyle w:val="ListParagraph"/>
              <w:keepLines/>
              <w:widowControl w:val="0"/>
              <w:numPr>
                <w:ilvl w:val="0"/>
                <w:numId w:val="3"/>
              </w:numPr>
              <w:ind w:left="421"/>
              <w:rPr>
                <w:rFonts w:cstheme="minorHAnsi"/>
              </w:rPr>
            </w:pPr>
            <w:r w:rsidRPr="007E6DF6">
              <w:rPr>
                <w:rFonts w:cstheme="minorHAnsi"/>
              </w:rPr>
              <w:t>E&amp;S učinak izvođača i podizvođača, kako je prikazan u [mesečnim] izveštajima izvođača i nadzornih firm</w:t>
            </w:r>
            <w:r w:rsidR="00695CD2">
              <w:rPr>
                <w:rFonts w:cstheme="minorHAnsi"/>
              </w:rPr>
              <w:t>i</w:t>
            </w:r>
            <w:r w:rsidR="004815BD" w:rsidRPr="00984C70">
              <w:rPr>
                <w:rFonts w:cstheme="minorHAnsi"/>
              </w:rPr>
              <w:t>.</w:t>
            </w:r>
          </w:p>
          <w:p w14:paraId="417EADB8" w14:textId="02DA8205" w:rsidR="004815BD" w:rsidRPr="00984C70" w:rsidRDefault="007E6DF6" w:rsidP="00A30982">
            <w:pPr>
              <w:pStyle w:val="ListParagraph"/>
              <w:keepLines/>
              <w:widowControl w:val="0"/>
              <w:numPr>
                <w:ilvl w:val="0"/>
                <w:numId w:val="3"/>
              </w:numPr>
              <w:ind w:left="421"/>
              <w:rPr>
                <w:rFonts w:cstheme="minorHAnsi"/>
              </w:rPr>
            </w:pPr>
            <w:r w:rsidRPr="007E6DF6">
              <w:rPr>
                <w:rFonts w:cstheme="minorHAnsi"/>
              </w:rPr>
              <w:t>Broj prijavljenih incidenata i nezgoda, kao i status njihovog rešavanja, u skladu sa aktivnošću E navedenom u nastavku</w:t>
            </w:r>
            <w:r w:rsidR="004815BD" w:rsidRPr="00984C70">
              <w:rPr>
                <w:rFonts w:cstheme="minorHAnsi"/>
              </w:rPr>
              <w:t>.</w:t>
            </w:r>
            <w:r w:rsidR="004815BD" w:rsidRPr="00984C70">
              <w:rPr>
                <w:rFonts w:cstheme="minorHAnsi"/>
                <w:shd w:val="clear" w:color="auto" w:fill="FFFF00"/>
              </w:rPr>
              <w:t xml:space="preserve"> </w:t>
            </w:r>
          </w:p>
        </w:tc>
        <w:tc>
          <w:tcPr>
            <w:tcW w:w="3150" w:type="dxa"/>
            <w:tcBorders>
              <w:bottom w:val="single" w:sz="4" w:space="0" w:color="auto"/>
            </w:tcBorders>
          </w:tcPr>
          <w:p w14:paraId="68C32DA1" w14:textId="77777777" w:rsidR="007260E8" w:rsidRPr="00984C70" w:rsidRDefault="007260E8" w:rsidP="00A30982">
            <w:pPr>
              <w:keepLines/>
              <w:widowControl w:val="0"/>
              <w:jc w:val="both"/>
              <w:rPr>
                <w:rFonts w:cstheme="minorHAnsi"/>
              </w:rPr>
            </w:pPr>
          </w:p>
          <w:p w14:paraId="634445C1" w14:textId="77777777" w:rsidR="00321588" w:rsidRPr="00984C70" w:rsidRDefault="00321588" w:rsidP="00A30982">
            <w:pPr>
              <w:keepLines/>
              <w:widowControl w:val="0"/>
              <w:jc w:val="both"/>
              <w:rPr>
                <w:rFonts w:cstheme="minorHAnsi"/>
              </w:rPr>
            </w:pPr>
          </w:p>
          <w:p w14:paraId="7E71CEB8" w14:textId="4833D254" w:rsidR="004815BD" w:rsidRPr="00984C70" w:rsidRDefault="007E6DF6" w:rsidP="00A30982">
            <w:pPr>
              <w:keepLines/>
              <w:widowControl w:val="0"/>
              <w:jc w:val="both"/>
              <w:rPr>
                <w:rFonts w:cstheme="minorHAnsi"/>
              </w:rPr>
            </w:pPr>
            <w:r w:rsidRPr="007E6DF6">
              <w:rPr>
                <w:rFonts w:cstheme="minorHAnsi"/>
              </w:rPr>
              <w:t>Dostavljati kvartalne izveštaje Banci tokom implementacije Projekta, počev od Datuma stupanja na snagu. Svaki izveštaj dostaviti Banci najkasnije 30 dana nakon završetka izveštajnog perioda</w:t>
            </w:r>
          </w:p>
        </w:tc>
        <w:tc>
          <w:tcPr>
            <w:tcW w:w="2160" w:type="dxa"/>
            <w:tcBorders>
              <w:bottom w:val="single" w:sz="4" w:space="0" w:color="auto"/>
            </w:tcBorders>
          </w:tcPr>
          <w:p w14:paraId="6B6F35E5" w14:textId="77777777" w:rsidR="007260E8" w:rsidRPr="00984C70" w:rsidRDefault="007260E8" w:rsidP="00A30982">
            <w:pPr>
              <w:keepLines/>
              <w:widowControl w:val="0"/>
              <w:jc w:val="both"/>
              <w:rPr>
                <w:rFonts w:cstheme="minorHAnsi"/>
              </w:rPr>
            </w:pPr>
          </w:p>
          <w:p w14:paraId="19FCDE1D" w14:textId="77777777" w:rsidR="00321588" w:rsidRPr="00984C70" w:rsidRDefault="00321588" w:rsidP="00A30982">
            <w:pPr>
              <w:keepLines/>
              <w:widowControl w:val="0"/>
              <w:jc w:val="both"/>
              <w:rPr>
                <w:rFonts w:cstheme="minorHAnsi"/>
              </w:rPr>
            </w:pPr>
          </w:p>
          <w:p w14:paraId="6F1468BE" w14:textId="78CADFE9" w:rsidR="004815BD" w:rsidRPr="00984C70" w:rsidRDefault="005E692B" w:rsidP="00A30982">
            <w:pPr>
              <w:keepLines/>
              <w:widowControl w:val="0"/>
              <w:jc w:val="both"/>
              <w:rPr>
                <w:rFonts w:cstheme="minorHAnsi"/>
              </w:rPr>
            </w:pPr>
            <w:r w:rsidRPr="00984C70">
              <w:rPr>
                <w:rFonts w:cstheme="minorHAnsi"/>
              </w:rPr>
              <w:t>OITEG/PIU</w:t>
            </w:r>
          </w:p>
        </w:tc>
      </w:tr>
      <w:tr w:rsidR="004815BD" w:rsidRPr="00984C70" w14:paraId="24B4329F" w14:textId="77777777" w:rsidTr="32DC1B58">
        <w:trPr>
          <w:gridAfter w:val="1"/>
          <w:wAfter w:w="360" w:type="dxa"/>
          <w:trHeight w:val="20"/>
        </w:trPr>
        <w:tc>
          <w:tcPr>
            <w:tcW w:w="625" w:type="dxa"/>
            <w:tcBorders>
              <w:bottom w:val="single" w:sz="4" w:space="0" w:color="000000" w:themeColor="text1"/>
            </w:tcBorders>
          </w:tcPr>
          <w:p w14:paraId="01461BAF" w14:textId="77777777" w:rsidR="004815BD" w:rsidRPr="00984C70" w:rsidRDefault="004815BD" w:rsidP="004815BD">
            <w:pPr>
              <w:keepLines/>
              <w:widowControl w:val="0"/>
              <w:jc w:val="center"/>
              <w:rPr>
                <w:rFonts w:cstheme="minorHAnsi"/>
              </w:rPr>
            </w:pPr>
            <w:r w:rsidRPr="00984C70">
              <w:rPr>
                <w:rFonts w:cstheme="minorHAnsi"/>
              </w:rPr>
              <w:lastRenderedPageBreak/>
              <w:t>D</w:t>
            </w:r>
          </w:p>
        </w:tc>
        <w:tc>
          <w:tcPr>
            <w:tcW w:w="8370" w:type="dxa"/>
            <w:tcBorders>
              <w:bottom w:val="single" w:sz="4" w:space="0" w:color="000000" w:themeColor="text1"/>
            </w:tcBorders>
          </w:tcPr>
          <w:p w14:paraId="41A73268" w14:textId="73EB712C" w:rsidR="007E6DF6" w:rsidRPr="007E6DF6" w:rsidRDefault="007E6DF6" w:rsidP="007E6DF6">
            <w:pPr>
              <w:jc w:val="both"/>
              <w:rPr>
                <w:rFonts w:cstheme="minorHAnsi"/>
                <w:b/>
                <w:bCs/>
                <w:color w:val="4472C4" w:themeColor="accent1"/>
                <w:lang w:val="en-GB"/>
              </w:rPr>
            </w:pPr>
            <w:r w:rsidRPr="007E6DF6">
              <w:rPr>
                <w:rFonts w:cstheme="minorHAnsi"/>
                <w:b/>
                <w:bCs/>
                <w:color w:val="4472C4" w:themeColor="accent1"/>
                <w:lang w:val="en-GB"/>
              </w:rPr>
              <w:t>MESEČNI IZVEŠTAJI IZVOĐAČA</w:t>
            </w:r>
          </w:p>
          <w:p w14:paraId="2522205D" w14:textId="1A074232" w:rsidR="004815BD" w:rsidRPr="00695CD2" w:rsidRDefault="007E6DF6" w:rsidP="00A30982">
            <w:pPr>
              <w:jc w:val="both"/>
              <w:rPr>
                <w:rFonts w:cstheme="minorHAnsi"/>
                <w:lang w:val="en-GB"/>
              </w:rPr>
            </w:pPr>
            <w:r w:rsidRPr="00695CD2">
              <w:rPr>
                <w:rFonts w:cstheme="minorHAnsi"/>
                <w:lang w:val="en-GB"/>
              </w:rPr>
              <w:t>Zahtevati od izvođača i nadzornih firmi da dostavljaju mesečne izveštaje o praćenju E&amp;S učinka, u skladu sa pokazateljima definisanim u odgovarajućoj tenderskoj dokumentaciji i ugovorima, kao i da takve izveštaje dostavljaju Banci.</w:t>
            </w:r>
          </w:p>
          <w:p w14:paraId="24B40CBC" w14:textId="7C60D432" w:rsidR="004815BD" w:rsidRPr="00984C70" w:rsidRDefault="004815BD" w:rsidP="00A30982">
            <w:pPr>
              <w:jc w:val="both"/>
              <w:rPr>
                <w:rFonts w:cstheme="minorHAnsi"/>
                <w:b/>
                <w:color w:val="4472C4" w:themeColor="accent1"/>
              </w:rPr>
            </w:pPr>
          </w:p>
        </w:tc>
        <w:tc>
          <w:tcPr>
            <w:tcW w:w="3150" w:type="dxa"/>
            <w:tcBorders>
              <w:bottom w:val="single" w:sz="4" w:space="0" w:color="000000" w:themeColor="text1"/>
            </w:tcBorders>
          </w:tcPr>
          <w:p w14:paraId="2A59431E" w14:textId="213A0BFB" w:rsidR="004815BD" w:rsidRPr="00984C70" w:rsidRDefault="007E6DF6" w:rsidP="007E6DF6">
            <w:pPr>
              <w:keepLines/>
              <w:widowControl w:val="0"/>
              <w:jc w:val="both"/>
              <w:rPr>
                <w:rFonts w:eastAsia="Times New Roman" w:cstheme="minorHAnsi"/>
              </w:rPr>
            </w:pPr>
            <w:r w:rsidRPr="007E6DF6">
              <w:rPr>
                <w:rFonts w:cstheme="minorHAnsi"/>
              </w:rPr>
              <w:t xml:space="preserve">Dostavljati mesečne izveštaje Banci, na zahtev, kao priloge izveštajima koji se dostavljaju u skladu sa </w:t>
            </w:r>
            <w:r>
              <w:rPr>
                <w:rFonts w:cstheme="minorHAnsi"/>
              </w:rPr>
              <w:t xml:space="preserve">gorenavedenom </w:t>
            </w:r>
            <w:r w:rsidRPr="007E6DF6">
              <w:rPr>
                <w:rFonts w:cstheme="minorHAnsi"/>
              </w:rPr>
              <w:t xml:space="preserve">aktivnošću C </w:t>
            </w:r>
          </w:p>
        </w:tc>
        <w:tc>
          <w:tcPr>
            <w:tcW w:w="2160" w:type="dxa"/>
            <w:tcBorders>
              <w:bottom w:val="single" w:sz="4" w:space="0" w:color="000000" w:themeColor="text1"/>
            </w:tcBorders>
          </w:tcPr>
          <w:p w14:paraId="3D709FEE" w14:textId="725AD50E" w:rsidR="004815BD" w:rsidRPr="00984C70" w:rsidRDefault="00B1159A" w:rsidP="00A30982">
            <w:pPr>
              <w:keepLines/>
              <w:widowControl w:val="0"/>
              <w:jc w:val="both"/>
              <w:rPr>
                <w:rFonts w:cstheme="minorHAnsi"/>
              </w:rPr>
            </w:pPr>
            <w:r w:rsidRPr="00984C70">
              <w:rPr>
                <w:rFonts w:cstheme="minorHAnsi"/>
              </w:rPr>
              <w:t>PIU</w:t>
            </w:r>
          </w:p>
        </w:tc>
      </w:tr>
      <w:tr w:rsidR="004815BD" w:rsidRPr="00984C70" w14:paraId="2A3AD8DD" w14:textId="77777777" w:rsidTr="32DC1B58">
        <w:trPr>
          <w:gridAfter w:val="1"/>
          <w:wAfter w:w="360" w:type="dxa"/>
          <w:trHeight w:val="20"/>
        </w:trPr>
        <w:tc>
          <w:tcPr>
            <w:tcW w:w="625" w:type="dxa"/>
            <w:tcBorders>
              <w:bottom w:val="single" w:sz="4" w:space="0" w:color="000000" w:themeColor="text1"/>
            </w:tcBorders>
          </w:tcPr>
          <w:p w14:paraId="3006CA57" w14:textId="77777777" w:rsidR="004815BD" w:rsidRPr="00984C70" w:rsidRDefault="004815BD" w:rsidP="004815BD">
            <w:pPr>
              <w:keepLines/>
              <w:widowControl w:val="0"/>
              <w:jc w:val="center"/>
              <w:rPr>
                <w:rFonts w:cstheme="minorHAnsi"/>
              </w:rPr>
            </w:pPr>
            <w:r w:rsidRPr="00984C70">
              <w:rPr>
                <w:rFonts w:cstheme="minorHAnsi"/>
              </w:rPr>
              <w:t>E</w:t>
            </w:r>
          </w:p>
        </w:tc>
        <w:tc>
          <w:tcPr>
            <w:tcW w:w="8370" w:type="dxa"/>
            <w:tcBorders>
              <w:bottom w:val="single" w:sz="4" w:space="0" w:color="000000" w:themeColor="text1"/>
            </w:tcBorders>
          </w:tcPr>
          <w:p w14:paraId="0F8D3783" w14:textId="4F8180FA" w:rsidR="004815BD" w:rsidRPr="00984C70" w:rsidRDefault="00346F66" w:rsidP="00A30982">
            <w:pPr>
              <w:jc w:val="both"/>
              <w:rPr>
                <w:rFonts w:cstheme="minorHAnsi"/>
                <w:b/>
                <w:color w:val="4472C4" w:themeColor="accent1"/>
              </w:rPr>
            </w:pPr>
            <w:r>
              <w:rPr>
                <w:rFonts w:cstheme="minorHAnsi"/>
                <w:b/>
                <w:color w:val="4472C4" w:themeColor="accent1"/>
              </w:rPr>
              <w:t>INCIDENTI I NESREĆE</w:t>
            </w:r>
          </w:p>
          <w:p w14:paraId="5E725446" w14:textId="4F796751" w:rsidR="00F96C1A" w:rsidRPr="00984C70" w:rsidRDefault="00346F66" w:rsidP="00A30982">
            <w:pPr>
              <w:keepLines/>
              <w:widowControl w:val="0"/>
              <w:jc w:val="both"/>
              <w:rPr>
                <w:rFonts w:cstheme="minorHAnsi"/>
              </w:rPr>
            </w:pPr>
            <w:r w:rsidRPr="00346F66">
              <w:rPr>
                <w:rFonts w:cstheme="minorHAnsi"/>
              </w:rPr>
              <w:t>Obavestiti Banku o svakom incidentu ili nesreći u vezi sa projektom koji ima ili može imati značajan negativan uticaj na životnu sredinu, pogođene zajednice, javnost ili radnike, uključujući incidente koji za posledicu imaju smrt ili teške povrede radnika ili javnosti; akte nasilja, diskriminacije ili protesta; nepredviđene uticaje na kulturno nasleđe ili biodiverzitet; zagađenje životne sredine; havariju brane; prinudni ili deč</w:t>
            </w:r>
            <w:r>
              <w:rPr>
                <w:rFonts w:cstheme="minorHAnsi"/>
              </w:rPr>
              <w:t>i</w:t>
            </w:r>
            <w:r w:rsidRPr="00346F66">
              <w:rPr>
                <w:rFonts w:cstheme="minorHAnsi"/>
              </w:rPr>
              <w:t>ji rad; raseljavanje bez odgovarajućeg pravnog postupka (prisilno iseljenje); navode o seksualnoj eksploataciji ili zlostavljanju (SEA) ili seksualnom uznemiravanju (SH); kao i izbijanje zaraznih bolesti</w:t>
            </w:r>
            <w:r w:rsidR="00F96C1A" w:rsidRPr="00984C70">
              <w:rPr>
                <w:rFonts w:cstheme="minorHAnsi"/>
              </w:rPr>
              <w:t>.</w:t>
            </w:r>
            <w:r w:rsidRPr="00346F66">
              <w:rPr>
                <w:kern w:val="2"/>
                <w14:ligatures w14:val="standardContextual"/>
              </w:rPr>
              <w:t xml:space="preserve"> </w:t>
            </w:r>
            <w:r>
              <w:rPr>
                <w:rFonts w:cstheme="minorHAnsi"/>
              </w:rPr>
              <w:t>Na</w:t>
            </w:r>
            <w:r w:rsidRPr="00346F66">
              <w:rPr>
                <w:rFonts w:cstheme="minorHAnsi"/>
              </w:rPr>
              <w:t xml:space="preserve"> zahtev Banke dostaviti raspoložive detalje o incidentu ili nesreći.</w:t>
            </w:r>
          </w:p>
          <w:p w14:paraId="6317DAAB" w14:textId="77777777" w:rsidR="00F96C1A" w:rsidRPr="00984C70" w:rsidRDefault="00F96C1A" w:rsidP="00A30982">
            <w:pPr>
              <w:keepLines/>
              <w:widowControl w:val="0"/>
              <w:jc w:val="both"/>
              <w:rPr>
                <w:rFonts w:cstheme="minorHAnsi"/>
              </w:rPr>
            </w:pPr>
          </w:p>
          <w:p w14:paraId="2A916A10" w14:textId="4E1BF1B6" w:rsidR="004815BD" w:rsidRPr="0073039E" w:rsidRDefault="0073039E" w:rsidP="00A30982">
            <w:pPr>
              <w:jc w:val="both"/>
              <w:rPr>
                <w:rFonts w:cstheme="minorHAnsi"/>
                <w:lang w:val="en-GB"/>
              </w:rPr>
            </w:pPr>
            <w:r w:rsidRPr="0073039E">
              <w:rPr>
                <w:rFonts w:cstheme="minorHAnsi"/>
                <w:lang w:val="en-GB"/>
              </w:rPr>
              <w:t>Sprovesti odgovarajuću analizu incidenta ili nesreće radi utvrđivanja neposrednih, osnovnih i korenskih uzroka.</w:t>
            </w:r>
            <w:r>
              <w:rPr>
                <w:rFonts w:cstheme="minorHAnsi"/>
                <w:lang w:val="en-GB"/>
              </w:rPr>
              <w:t xml:space="preserve"> </w:t>
            </w:r>
            <w:r w:rsidRPr="0073039E">
              <w:rPr>
                <w:rFonts w:cstheme="minorHAnsi"/>
                <w:lang w:val="en-GB"/>
              </w:rPr>
              <w:t>Pripremiti, usaglasiti sa Bankom i sprovesti Plan korektivnih mera kojim se definišu mere i aktivnosti koje treba preduzeti radi rešavanja posledica incidenta ili nesreće i sprečavanja njihovog ponavljanja</w:t>
            </w:r>
            <w:r>
              <w:rPr>
                <w:rFonts w:cstheme="minorHAnsi"/>
                <w:lang w:val="en-GB"/>
              </w:rPr>
              <w:t>.</w:t>
            </w:r>
          </w:p>
        </w:tc>
        <w:tc>
          <w:tcPr>
            <w:tcW w:w="3150" w:type="dxa"/>
            <w:tcBorders>
              <w:bottom w:val="single" w:sz="4" w:space="0" w:color="000000" w:themeColor="text1"/>
            </w:tcBorders>
          </w:tcPr>
          <w:p w14:paraId="36E6E821" w14:textId="36860523" w:rsidR="0073039E" w:rsidRPr="0073039E" w:rsidRDefault="0073039E" w:rsidP="0073039E">
            <w:pPr>
              <w:keepLines/>
              <w:widowControl w:val="0"/>
              <w:jc w:val="both"/>
              <w:rPr>
                <w:rFonts w:eastAsia="Times New Roman" w:cstheme="minorHAnsi"/>
                <w:lang w:val="en-GB"/>
              </w:rPr>
            </w:pPr>
            <w:r w:rsidRPr="0073039E">
              <w:rPr>
                <w:rFonts w:eastAsia="Times New Roman" w:cstheme="minorHAnsi"/>
                <w:lang w:val="en-GB"/>
              </w:rPr>
              <w:t>Obavestiti Banku najkasnije u roku od 48 sati od saznanja za incident ili nesreću. Na zahtev dostaviti raspoložive detalje.</w:t>
            </w:r>
          </w:p>
          <w:p w14:paraId="53640E82" w14:textId="384309B5" w:rsidR="0073039E" w:rsidRPr="0073039E" w:rsidRDefault="0073039E" w:rsidP="0073039E">
            <w:pPr>
              <w:keepLines/>
              <w:widowControl w:val="0"/>
              <w:jc w:val="both"/>
              <w:rPr>
                <w:rFonts w:eastAsia="Times New Roman" w:cstheme="minorHAnsi"/>
                <w:lang w:val="en-GB"/>
              </w:rPr>
            </w:pPr>
            <w:r w:rsidRPr="0073039E">
              <w:rPr>
                <w:rFonts w:eastAsia="Times New Roman" w:cstheme="minorHAnsi"/>
                <w:lang w:val="en-GB"/>
              </w:rPr>
              <w:t xml:space="preserve">Dostaviti Banci izveštaj o analizi incidenta i Plan korektivnih mera najkasnije 10 dana nakon podnošenja početnog obaveštenja, osim ukoliko Banka pisanim putem ne odobri </w:t>
            </w:r>
            <w:r>
              <w:rPr>
                <w:rFonts w:eastAsia="Times New Roman" w:cstheme="minorHAnsi"/>
                <w:lang w:val="en-GB"/>
              </w:rPr>
              <w:t>drugi</w:t>
            </w:r>
            <w:r w:rsidRPr="0073039E">
              <w:rPr>
                <w:rFonts w:eastAsia="Times New Roman" w:cstheme="minorHAnsi"/>
                <w:lang w:val="en-GB"/>
              </w:rPr>
              <w:t xml:space="preserve"> rok</w:t>
            </w:r>
          </w:p>
          <w:p w14:paraId="716E253B" w14:textId="2B49524C" w:rsidR="004815BD" w:rsidRPr="00984C70" w:rsidRDefault="004815BD" w:rsidP="00A30982">
            <w:pPr>
              <w:keepLines/>
              <w:widowControl w:val="0"/>
              <w:jc w:val="both"/>
              <w:rPr>
                <w:rFonts w:cstheme="minorHAnsi"/>
              </w:rPr>
            </w:pPr>
          </w:p>
        </w:tc>
        <w:tc>
          <w:tcPr>
            <w:tcW w:w="2160" w:type="dxa"/>
            <w:tcBorders>
              <w:bottom w:val="single" w:sz="4" w:space="0" w:color="000000" w:themeColor="text1"/>
            </w:tcBorders>
          </w:tcPr>
          <w:p w14:paraId="29973E39" w14:textId="7142EE96" w:rsidR="004815BD" w:rsidRPr="00984C70" w:rsidRDefault="000079B0" w:rsidP="00A30982">
            <w:pPr>
              <w:keepLines/>
              <w:widowControl w:val="0"/>
              <w:jc w:val="both"/>
              <w:rPr>
                <w:rFonts w:cstheme="minorHAnsi"/>
              </w:rPr>
            </w:pPr>
            <w:r w:rsidRPr="00984C70">
              <w:rPr>
                <w:rFonts w:cstheme="minorHAnsi"/>
              </w:rPr>
              <w:t>OITEG /PIU</w:t>
            </w:r>
          </w:p>
        </w:tc>
      </w:tr>
      <w:tr w:rsidR="004815BD" w:rsidRPr="00984C70" w14:paraId="0ECA729A" w14:textId="77777777" w:rsidTr="32DC1B58">
        <w:trPr>
          <w:cantSplit/>
          <w:trHeight w:val="20"/>
        </w:trPr>
        <w:tc>
          <w:tcPr>
            <w:tcW w:w="14305" w:type="dxa"/>
            <w:gridSpan w:val="4"/>
            <w:tcBorders>
              <w:top w:val="single" w:sz="4" w:space="0" w:color="000000" w:themeColor="text1"/>
            </w:tcBorders>
            <w:shd w:val="clear" w:color="auto" w:fill="F4B083" w:themeFill="accent2" w:themeFillTint="99"/>
          </w:tcPr>
          <w:p w14:paraId="6A2E70A3" w14:textId="334C9E4F" w:rsidR="00E108B5" w:rsidRPr="00E108B5" w:rsidRDefault="00E108B5" w:rsidP="00E108B5">
            <w:pPr>
              <w:widowControl w:val="0"/>
              <w:rPr>
                <w:rFonts w:cstheme="minorHAnsi"/>
                <w:b/>
                <w:bCs/>
                <w:lang w:val="en-GB"/>
              </w:rPr>
            </w:pPr>
            <w:r>
              <w:rPr>
                <w:rFonts w:cstheme="minorHAnsi"/>
                <w:b/>
              </w:rPr>
              <w:t xml:space="preserve">ESS 1:  </w:t>
            </w:r>
            <w:r w:rsidRPr="00E108B5">
              <w:rPr>
                <w:rFonts w:cstheme="minorHAnsi"/>
                <w:b/>
                <w:bCs/>
                <w:lang w:val="en-GB"/>
              </w:rPr>
              <w:t>PROCENA I UPRAVLJANJE EKOLOŠKIM I SOCIJALNIM RIZICIMA I UTICAJIMA</w:t>
            </w:r>
          </w:p>
          <w:p w14:paraId="2E9E6D0E" w14:textId="7DF2E454" w:rsidR="004815BD" w:rsidRPr="00984C70" w:rsidRDefault="004815BD" w:rsidP="004815BD">
            <w:pPr>
              <w:keepLines/>
              <w:widowControl w:val="0"/>
              <w:rPr>
                <w:rFonts w:cstheme="minorHAnsi"/>
              </w:rPr>
            </w:pPr>
          </w:p>
        </w:tc>
        <w:tc>
          <w:tcPr>
            <w:tcW w:w="360" w:type="dxa"/>
          </w:tcPr>
          <w:p w14:paraId="79C3836B" w14:textId="7C4B317B" w:rsidR="00E108B5" w:rsidRPr="00E108B5" w:rsidRDefault="00E108B5" w:rsidP="00E108B5">
            <w:pPr>
              <w:rPr>
                <w:b/>
                <w:bCs/>
                <w:lang w:val="en-GB"/>
              </w:rPr>
            </w:pPr>
          </w:p>
        </w:tc>
      </w:tr>
      <w:tr w:rsidR="004815BD" w:rsidRPr="00984C70" w14:paraId="05ACC65E" w14:textId="77777777" w:rsidTr="32DC1B58">
        <w:trPr>
          <w:gridAfter w:val="1"/>
          <w:wAfter w:w="360" w:type="dxa"/>
          <w:trHeight w:val="20"/>
        </w:trPr>
        <w:tc>
          <w:tcPr>
            <w:tcW w:w="625" w:type="dxa"/>
          </w:tcPr>
          <w:p w14:paraId="079B407C" w14:textId="77777777" w:rsidR="004815BD" w:rsidRPr="00984C70" w:rsidRDefault="004815BD" w:rsidP="004815BD">
            <w:pPr>
              <w:keepLines/>
              <w:widowControl w:val="0"/>
              <w:jc w:val="center"/>
              <w:rPr>
                <w:rFonts w:cstheme="minorHAnsi"/>
              </w:rPr>
            </w:pPr>
            <w:r w:rsidRPr="00984C70">
              <w:rPr>
                <w:rFonts w:cstheme="minorHAnsi"/>
              </w:rPr>
              <w:t>1.1</w:t>
            </w:r>
          </w:p>
        </w:tc>
        <w:tc>
          <w:tcPr>
            <w:tcW w:w="8370" w:type="dxa"/>
          </w:tcPr>
          <w:p w14:paraId="17715DD0" w14:textId="77777777" w:rsidR="00E108B5" w:rsidRPr="00E108B5" w:rsidRDefault="00E108B5" w:rsidP="00E108B5">
            <w:pPr>
              <w:keepLines/>
              <w:widowControl w:val="0"/>
              <w:jc w:val="both"/>
              <w:rPr>
                <w:rFonts w:cstheme="minorHAnsi"/>
                <w:b/>
                <w:bCs/>
                <w:color w:val="4472C4" w:themeColor="accent1"/>
                <w:lang w:val="en-GB"/>
              </w:rPr>
            </w:pPr>
            <w:r w:rsidRPr="00E108B5">
              <w:rPr>
                <w:rFonts w:cstheme="minorHAnsi"/>
                <w:b/>
                <w:bCs/>
                <w:color w:val="4472C4" w:themeColor="accent1"/>
                <w:lang w:val="en-GB"/>
              </w:rPr>
              <w:t>PROCENE I/ILI PLANOVI ŽIVOTNE SREDINE I SOCIJALNIH PITANJA</w:t>
            </w:r>
          </w:p>
          <w:p w14:paraId="7328C58F" w14:textId="77777777" w:rsidR="00E108B5" w:rsidRPr="005E3032" w:rsidRDefault="00E108B5" w:rsidP="00E108B5">
            <w:pPr>
              <w:keepLines/>
              <w:widowControl w:val="0"/>
              <w:jc w:val="both"/>
              <w:rPr>
                <w:rFonts w:cstheme="minorHAnsi"/>
                <w:lang w:val="en-GB"/>
              </w:rPr>
            </w:pPr>
            <w:r w:rsidRPr="005E3032">
              <w:rPr>
                <w:rFonts w:cstheme="minorHAnsi"/>
                <w:lang w:val="en-GB"/>
              </w:rPr>
              <w:t>Pripremiti, usvojiti i implementirati poseban deo za upravljanje ekološkim i socijalnim rizicima u Operativnom priručniku projekta (POM), u skladu sa Standardima zaštite životne sredine i socijalnih pitanja (ESS), na način prihvatljiv za Banku.</w:t>
            </w:r>
          </w:p>
          <w:p w14:paraId="29EFDC1E" w14:textId="15285127" w:rsidR="00E108B5" w:rsidRPr="00E108B5" w:rsidRDefault="00E108B5" w:rsidP="00E108B5">
            <w:pPr>
              <w:keepLines/>
              <w:widowControl w:val="0"/>
              <w:jc w:val="both"/>
              <w:rPr>
                <w:rFonts w:cstheme="minorHAnsi"/>
                <w:lang w:val="en-GB"/>
              </w:rPr>
            </w:pPr>
            <w:r w:rsidRPr="00E108B5">
              <w:rPr>
                <w:rFonts w:cstheme="minorHAnsi"/>
                <w:lang w:val="en-GB"/>
              </w:rPr>
              <w:lastRenderedPageBreak/>
              <w:t xml:space="preserve">Ovaj deo treba da definiše procedure i aranžmane za upravljanje ekološkim i socijalnim rizicima i </w:t>
            </w:r>
            <w:r>
              <w:rPr>
                <w:rFonts w:cstheme="minorHAnsi"/>
                <w:lang w:val="en-GB"/>
              </w:rPr>
              <w:t>uticajima Projekta, uključujući p</w:t>
            </w:r>
            <w:r w:rsidRPr="00E108B5">
              <w:rPr>
                <w:rFonts w:cstheme="minorHAnsi"/>
                <w:lang w:val="en-GB"/>
              </w:rPr>
              <w:t xml:space="preserve">rocedure upravljanja radnom snagom (LMP), </w:t>
            </w:r>
            <w:r>
              <w:rPr>
                <w:rFonts w:cstheme="minorHAnsi"/>
                <w:lang w:val="en-GB"/>
              </w:rPr>
              <w:t>m</w:t>
            </w:r>
            <w:r w:rsidRPr="00E108B5">
              <w:rPr>
                <w:rFonts w:cstheme="minorHAnsi"/>
                <w:lang w:val="en-GB"/>
              </w:rPr>
              <w:t xml:space="preserve">ehanizam za rešavanje pritužbi (GM), kao i sve druge planove i instrumente zaštite životne sredine i socijalnih pitanja koji se zahtevaju u okviru relevantnih ESS standarda. </w:t>
            </w:r>
          </w:p>
          <w:p w14:paraId="6FF84EBD" w14:textId="4A580B94" w:rsidR="004815BD" w:rsidRPr="00E108B5" w:rsidRDefault="00E108B5" w:rsidP="00EA7418">
            <w:pPr>
              <w:keepLines/>
              <w:widowControl w:val="0"/>
              <w:jc w:val="both"/>
              <w:rPr>
                <w:rFonts w:cstheme="minorHAnsi"/>
                <w:lang w:val="en-GB"/>
              </w:rPr>
            </w:pPr>
            <w:r w:rsidRPr="00E108B5">
              <w:rPr>
                <w:rFonts w:cstheme="minorHAnsi"/>
                <w:lang w:val="en-GB"/>
              </w:rPr>
              <w:t>Obezbediti da se POM primenjuje i da se u potpunosti poštuje tokom čitave implementacije Projekta.</w:t>
            </w:r>
          </w:p>
        </w:tc>
        <w:tc>
          <w:tcPr>
            <w:tcW w:w="3150" w:type="dxa"/>
          </w:tcPr>
          <w:p w14:paraId="23F19828" w14:textId="3301E5A4" w:rsidR="004815BD" w:rsidRPr="00984C70" w:rsidRDefault="004815BD" w:rsidP="00EA7418">
            <w:pPr>
              <w:keepLines/>
              <w:widowControl w:val="0"/>
              <w:jc w:val="both"/>
              <w:rPr>
                <w:rFonts w:eastAsia="Times New Roman" w:cstheme="minorHAnsi"/>
              </w:rPr>
            </w:pPr>
          </w:p>
          <w:p w14:paraId="54D535A6" w14:textId="77777777" w:rsidR="00153536" w:rsidRPr="00984C70" w:rsidRDefault="004815BD" w:rsidP="00EA7418">
            <w:pPr>
              <w:keepLines/>
              <w:widowControl w:val="0"/>
              <w:jc w:val="both"/>
              <w:rPr>
                <w:rFonts w:eastAsia="Times New Roman" w:cstheme="minorHAnsi"/>
              </w:rPr>
            </w:pPr>
            <w:r w:rsidRPr="00984C70">
              <w:rPr>
                <w:rFonts w:eastAsia="Times New Roman" w:cstheme="minorHAnsi"/>
              </w:rPr>
              <w:t xml:space="preserve"> </w:t>
            </w:r>
          </w:p>
          <w:p w14:paraId="2F947AD7" w14:textId="2C9DE6DE" w:rsidR="004815BD" w:rsidRPr="00984C70" w:rsidRDefault="00E108B5" w:rsidP="00EA7418">
            <w:pPr>
              <w:keepLines/>
              <w:widowControl w:val="0"/>
              <w:jc w:val="both"/>
              <w:rPr>
                <w:rFonts w:cstheme="minorHAnsi"/>
              </w:rPr>
            </w:pPr>
            <w:r>
              <w:rPr>
                <w:rFonts w:cstheme="minorHAnsi"/>
              </w:rPr>
              <w:lastRenderedPageBreak/>
              <w:t xml:space="preserve">1. </w:t>
            </w:r>
            <w:r w:rsidRPr="00E108B5">
              <w:rPr>
                <w:rFonts w:cstheme="minorHAnsi"/>
              </w:rPr>
              <w:t>Pripremiti i usvojiti POM pre Datuma stupanja na snagu, a zatim ga primenjivati tokom čitave implementacije Projekta</w:t>
            </w:r>
            <w:r w:rsidR="008C6D73" w:rsidRPr="00984C70">
              <w:rPr>
                <w:rFonts w:cstheme="minorHAnsi"/>
              </w:rPr>
              <w:t>.</w:t>
            </w:r>
          </w:p>
          <w:p w14:paraId="6E394D77" w14:textId="77777777" w:rsidR="004815BD" w:rsidRPr="00984C70" w:rsidRDefault="004815BD" w:rsidP="00EA7418">
            <w:pPr>
              <w:keepLines/>
              <w:widowControl w:val="0"/>
              <w:jc w:val="both"/>
              <w:rPr>
                <w:rFonts w:eastAsia="Times New Roman" w:cstheme="minorHAnsi"/>
              </w:rPr>
            </w:pPr>
          </w:p>
          <w:p w14:paraId="22460803" w14:textId="78642CE1" w:rsidR="001C26A6" w:rsidRPr="00984C70" w:rsidRDefault="001C26A6" w:rsidP="00EA7418">
            <w:pPr>
              <w:keepLines/>
              <w:widowControl w:val="0"/>
              <w:jc w:val="both"/>
              <w:rPr>
                <w:rFonts w:eastAsia="Times New Roman" w:cstheme="minorHAnsi"/>
              </w:rPr>
            </w:pPr>
          </w:p>
          <w:p w14:paraId="088E2EA5" w14:textId="100CB5BE" w:rsidR="004815BD" w:rsidRPr="00984C70" w:rsidRDefault="004815BD" w:rsidP="00EA7418">
            <w:pPr>
              <w:keepLines/>
              <w:widowControl w:val="0"/>
              <w:jc w:val="both"/>
              <w:rPr>
                <w:rFonts w:eastAsia="Times New Roman" w:cstheme="minorHAnsi"/>
              </w:rPr>
            </w:pPr>
          </w:p>
        </w:tc>
        <w:tc>
          <w:tcPr>
            <w:tcW w:w="2160" w:type="dxa"/>
          </w:tcPr>
          <w:p w14:paraId="51A0175A" w14:textId="4450ADB7" w:rsidR="004815BD" w:rsidRPr="00984C70" w:rsidRDefault="0052187E" w:rsidP="004815BD">
            <w:pPr>
              <w:keepLines/>
              <w:widowControl w:val="0"/>
              <w:rPr>
                <w:rFonts w:cstheme="minorHAnsi"/>
              </w:rPr>
            </w:pPr>
            <w:r w:rsidRPr="00984C70">
              <w:rPr>
                <w:rFonts w:cstheme="minorHAnsi"/>
              </w:rPr>
              <w:lastRenderedPageBreak/>
              <w:t>OITEG/</w:t>
            </w:r>
            <w:r w:rsidR="008C6D73" w:rsidRPr="00984C70">
              <w:rPr>
                <w:rFonts w:cstheme="minorHAnsi"/>
              </w:rPr>
              <w:t>PIU</w:t>
            </w:r>
          </w:p>
        </w:tc>
      </w:tr>
      <w:tr w:rsidR="004815BD" w:rsidRPr="00984C70" w14:paraId="39FB1C2B" w14:textId="77777777" w:rsidTr="32DC1B58">
        <w:trPr>
          <w:gridAfter w:val="1"/>
          <w:wAfter w:w="360" w:type="dxa"/>
          <w:trHeight w:val="20"/>
        </w:trPr>
        <w:tc>
          <w:tcPr>
            <w:tcW w:w="625" w:type="dxa"/>
          </w:tcPr>
          <w:p w14:paraId="042B5D6D" w14:textId="0FC67086" w:rsidR="004815BD" w:rsidRPr="00984C70" w:rsidRDefault="004815BD" w:rsidP="004815BD">
            <w:pPr>
              <w:keepLines/>
              <w:widowControl w:val="0"/>
              <w:jc w:val="center"/>
              <w:rPr>
                <w:rFonts w:cstheme="minorHAnsi"/>
              </w:rPr>
            </w:pPr>
            <w:r w:rsidRPr="00984C70">
              <w:rPr>
                <w:rFonts w:cstheme="minorHAnsi"/>
              </w:rPr>
              <w:lastRenderedPageBreak/>
              <w:t>1.2</w:t>
            </w:r>
          </w:p>
        </w:tc>
        <w:tc>
          <w:tcPr>
            <w:tcW w:w="8370" w:type="dxa"/>
          </w:tcPr>
          <w:p w14:paraId="4E57BCE1" w14:textId="6FEC88BC" w:rsidR="004815BD" w:rsidRPr="00984C70" w:rsidRDefault="008479BA" w:rsidP="00EC7CAF">
            <w:pPr>
              <w:keepLines/>
              <w:widowControl w:val="0"/>
              <w:jc w:val="both"/>
              <w:rPr>
                <w:rFonts w:cstheme="minorHAnsi"/>
                <w:b/>
                <w:color w:val="4472C4" w:themeColor="accent1"/>
              </w:rPr>
            </w:pPr>
            <w:r>
              <w:rPr>
                <w:rFonts w:cstheme="minorHAnsi"/>
                <w:b/>
                <w:color w:val="4472C4" w:themeColor="accent1"/>
              </w:rPr>
              <w:t>UPRAVLJANJE IZVOĐAČIMA</w:t>
            </w:r>
          </w:p>
          <w:p w14:paraId="27B46496" w14:textId="05AB6200" w:rsidR="00F57CC0" w:rsidRPr="00F57CC0" w:rsidRDefault="00F57CC0" w:rsidP="00F57CC0">
            <w:pPr>
              <w:keepLines/>
              <w:widowControl w:val="0"/>
              <w:jc w:val="both"/>
              <w:rPr>
                <w:rFonts w:cstheme="minorHAnsi"/>
                <w:lang w:val="en-GB"/>
              </w:rPr>
            </w:pPr>
            <w:r w:rsidRPr="00F57CC0">
              <w:rPr>
                <w:rFonts w:cstheme="minorHAnsi"/>
                <w:lang w:val="en-GB"/>
              </w:rPr>
              <w:t>Uključiti relevantne aspekte ESCP-a, uključujući, između ostalog, Kodeks ponašanja i Procedure upravljanja radnom snagom (LMP), u ekološke i socijalne specifikacije tenderske dokumentacije i ugovora sa izvođačima radova i nadzornim firmama.</w:t>
            </w:r>
          </w:p>
          <w:p w14:paraId="110FFCAB" w14:textId="466A30AA" w:rsidR="004815BD" w:rsidRPr="00F57CC0" w:rsidRDefault="00F57CC0" w:rsidP="00EC7CAF">
            <w:pPr>
              <w:keepLines/>
              <w:widowControl w:val="0"/>
              <w:jc w:val="both"/>
              <w:rPr>
                <w:rFonts w:cstheme="minorHAnsi"/>
                <w:lang w:val="en-GB"/>
              </w:rPr>
            </w:pPr>
            <w:r w:rsidRPr="00F57CC0">
              <w:rPr>
                <w:rFonts w:cstheme="minorHAnsi"/>
                <w:lang w:val="en-GB"/>
              </w:rPr>
              <w:t>Nakon toga obezbediti da se izvođači i nadzorne firme pridržavaju tih zahteva, kao i da oni obezbede da njihovi podizvođači poštuju ekološke i socijalne specifikacije svojih odgovarajućih ugovora.</w:t>
            </w:r>
            <w:r>
              <w:rPr>
                <w:rFonts w:cstheme="minorHAnsi"/>
                <w:lang w:val="en-GB"/>
              </w:rPr>
              <w:t xml:space="preserve"> </w:t>
            </w:r>
            <w:r w:rsidRPr="00F57CC0">
              <w:rPr>
                <w:rFonts w:cstheme="minorHAnsi"/>
                <w:lang w:val="en-GB"/>
              </w:rPr>
              <w:t>Dostaviti Banci kopije relevantnih ugovora sa izvođačima/podizvođačima i nadzornim firmama</w:t>
            </w:r>
            <w:r>
              <w:rPr>
                <w:rFonts w:cstheme="minorHAnsi"/>
                <w:lang w:val="en-GB"/>
              </w:rPr>
              <w:t>.</w:t>
            </w:r>
          </w:p>
          <w:p w14:paraId="0EABBFA5" w14:textId="19CAC26A" w:rsidR="004815BD" w:rsidRPr="00984C70" w:rsidRDefault="004815BD" w:rsidP="00EC7CAF">
            <w:pPr>
              <w:keepLines/>
              <w:widowControl w:val="0"/>
              <w:jc w:val="both"/>
              <w:rPr>
                <w:rFonts w:cstheme="minorHAnsi"/>
              </w:rPr>
            </w:pPr>
          </w:p>
        </w:tc>
        <w:tc>
          <w:tcPr>
            <w:tcW w:w="3150" w:type="dxa"/>
          </w:tcPr>
          <w:p w14:paraId="48163396" w14:textId="5E4539EB" w:rsidR="00F57CC0" w:rsidRPr="00F57CC0" w:rsidRDefault="00F57CC0" w:rsidP="00F57CC0">
            <w:pPr>
              <w:keepLines/>
              <w:widowControl w:val="0"/>
              <w:jc w:val="both"/>
              <w:rPr>
                <w:rFonts w:eastAsia="Times New Roman" w:cstheme="minorHAnsi"/>
                <w:bCs/>
                <w:iCs/>
                <w:lang w:val="en-GB"/>
              </w:rPr>
            </w:pPr>
            <w:r w:rsidRPr="00F57CC0">
              <w:rPr>
                <w:rFonts w:eastAsia="Times New Roman" w:cstheme="minorHAnsi"/>
                <w:bCs/>
                <w:iCs/>
                <w:lang w:val="en-GB"/>
              </w:rPr>
              <w:t>U okviru pripreme tenderske dokumentacije i odgovarajućih ugovora.</w:t>
            </w:r>
          </w:p>
          <w:p w14:paraId="16C5E6F3" w14:textId="77777777" w:rsidR="00F57CC0" w:rsidRPr="00F57CC0" w:rsidRDefault="00F57CC0" w:rsidP="00F57CC0">
            <w:pPr>
              <w:keepLines/>
              <w:widowControl w:val="0"/>
              <w:jc w:val="both"/>
              <w:rPr>
                <w:rFonts w:eastAsia="Times New Roman" w:cstheme="minorHAnsi"/>
                <w:bCs/>
                <w:iCs/>
                <w:lang w:val="en-GB"/>
              </w:rPr>
            </w:pPr>
            <w:r w:rsidRPr="00F57CC0">
              <w:rPr>
                <w:rFonts w:eastAsia="Times New Roman" w:cstheme="minorHAnsi"/>
                <w:bCs/>
                <w:iCs/>
                <w:lang w:val="en-GB"/>
              </w:rPr>
              <w:t>Nadgledati izvođače tokom čitave implementacije Projekta.</w:t>
            </w:r>
          </w:p>
          <w:p w14:paraId="6DE3D463" w14:textId="36573B63" w:rsidR="004815BD" w:rsidRPr="00F57CC0" w:rsidRDefault="00F57CC0" w:rsidP="00F57CC0">
            <w:pPr>
              <w:keepLines/>
              <w:widowControl w:val="0"/>
              <w:jc w:val="both"/>
              <w:rPr>
                <w:rFonts w:eastAsia="Times New Roman" w:cstheme="minorHAnsi"/>
                <w:bCs/>
                <w:iCs/>
                <w:lang w:val="en-GB"/>
              </w:rPr>
            </w:pPr>
            <w:r w:rsidRPr="00F57CC0">
              <w:rPr>
                <w:rFonts w:eastAsia="Times New Roman" w:cstheme="minorHAnsi"/>
                <w:bCs/>
                <w:iCs/>
                <w:lang w:val="en-GB"/>
              </w:rPr>
              <w:t>Dostaviti Banci kopije relevantnih ugovora</w:t>
            </w:r>
            <w:r>
              <w:rPr>
                <w:rFonts w:eastAsia="Times New Roman" w:cstheme="minorHAnsi"/>
                <w:bCs/>
                <w:iCs/>
                <w:lang w:val="en-GB"/>
              </w:rPr>
              <w:t>,</w:t>
            </w:r>
            <w:r w:rsidRPr="00F57CC0">
              <w:rPr>
                <w:rFonts w:eastAsia="Times New Roman" w:cstheme="minorHAnsi"/>
                <w:bCs/>
                <w:iCs/>
                <w:lang w:val="en-GB"/>
              </w:rPr>
              <w:t xml:space="preserve"> na zahtev</w:t>
            </w:r>
            <w:r>
              <w:rPr>
                <w:rFonts w:eastAsia="Times New Roman" w:cstheme="minorHAnsi"/>
                <w:bCs/>
                <w:iCs/>
                <w:lang w:val="en-GB"/>
              </w:rPr>
              <w:t>.</w:t>
            </w:r>
          </w:p>
        </w:tc>
        <w:tc>
          <w:tcPr>
            <w:tcW w:w="2160" w:type="dxa"/>
          </w:tcPr>
          <w:p w14:paraId="5857C3B0" w14:textId="0FB116D6" w:rsidR="004815BD" w:rsidRPr="00984C70" w:rsidRDefault="00C503CA" w:rsidP="004815BD">
            <w:pPr>
              <w:keepLines/>
              <w:widowControl w:val="0"/>
              <w:rPr>
                <w:rFonts w:cstheme="minorHAnsi"/>
              </w:rPr>
            </w:pPr>
            <w:r w:rsidRPr="00984C70">
              <w:rPr>
                <w:rFonts w:cstheme="minorHAnsi"/>
              </w:rPr>
              <w:t>OITEG/PIU</w:t>
            </w:r>
          </w:p>
        </w:tc>
      </w:tr>
      <w:tr w:rsidR="004815BD" w:rsidRPr="00984C70" w14:paraId="519A6939" w14:textId="77777777" w:rsidTr="00685F9F">
        <w:trPr>
          <w:gridAfter w:val="1"/>
          <w:wAfter w:w="360" w:type="dxa"/>
          <w:trHeight w:val="2123"/>
        </w:trPr>
        <w:tc>
          <w:tcPr>
            <w:tcW w:w="625" w:type="dxa"/>
          </w:tcPr>
          <w:p w14:paraId="5042C27D" w14:textId="5C30B1E0" w:rsidR="004815BD" w:rsidRPr="00984C70" w:rsidRDefault="004815BD" w:rsidP="004815BD">
            <w:pPr>
              <w:keepLines/>
              <w:widowControl w:val="0"/>
              <w:jc w:val="center"/>
              <w:rPr>
                <w:rFonts w:cstheme="minorHAnsi"/>
              </w:rPr>
            </w:pPr>
            <w:r w:rsidRPr="00984C70">
              <w:rPr>
                <w:rFonts w:cstheme="minorHAnsi"/>
              </w:rPr>
              <w:t>1.3</w:t>
            </w:r>
          </w:p>
        </w:tc>
        <w:tc>
          <w:tcPr>
            <w:tcW w:w="8370" w:type="dxa"/>
          </w:tcPr>
          <w:p w14:paraId="2C2C140C" w14:textId="09338E70" w:rsidR="004815BD" w:rsidRPr="00984C70" w:rsidRDefault="00F57CC0" w:rsidP="00EC7CAF">
            <w:pPr>
              <w:keepLines/>
              <w:widowControl w:val="0"/>
              <w:rPr>
                <w:rFonts w:cstheme="minorHAnsi"/>
                <w:b/>
                <w:color w:val="4472C4" w:themeColor="accent1"/>
              </w:rPr>
            </w:pPr>
            <w:r>
              <w:rPr>
                <w:rFonts w:cstheme="minorHAnsi"/>
                <w:b/>
                <w:color w:val="4472C4" w:themeColor="accent1"/>
              </w:rPr>
              <w:t>TEHNIČKA POMOĆ</w:t>
            </w:r>
          </w:p>
          <w:p w14:paraId="66F8E855" w14:textId="5E930568" w:rsidR="00C672C8" w:rsidRPr="005E3032" w:rsidRDefault="00F57CC0" w:rsidP="00EC7CAF">
            <w:pPr>
              <w:keepLines/>
              <w:widowControl w:val="0"/>
              <w:rPr>
                <w:rFonts w:cstheme="minorHAnsi"/>
                <w:lang w:val="en-GB"/>
              </w:rPr>
            </w:pPr>
            <w:r w:rsidRPr="00F57CC0">
              <w:rPr>
                <w:rFonts w:cstheme="minorHAnsi"/>
                <w:lang w:val="en-GB"/>
              </w:rPr>
              <w:t>Sprovoditi konsultantske usluge, studije (uključujući studije izvodljivosti, gde je primenljivo), aktivnosti jačanja institucionalnih kapaciteta, izradu tehničke dokumentacije, izgradnju kapaciteta, obuke i sve druge aktivnosti tehničke pomoći u okviru Projekta, u skladu sa projektnim zadacima (TOR) prihvatljivim za Banku i u skladu sa ESS standardima.</w:t>
            </w:r>
            <w:r w:rsidR="005E3032">
              <w:rPr>
                <w:rFonts w:cstheme="minorHAnsi"/>
                <w:lang w:val="en-GB"/>
              </w:rPr>
              <w:t xml:space="preserve"> </w:t>
            </w:r>
            <w:r w:rsidRPr="00F57CC0">
              <w:rPr>
                <w:rFonts w:cstheme="minorHAnsi"/>
                <w:lang w:val="en-GB"/>
              </w:rPr>
              <w:t>Nakon toga pripremiti i finalizovati rezultate tih aktivnosti, uključujući tehničku dokumentaciju i isporuke u okviru jačanja institucionalnih kapaciteta, u skladu sa projektnim zadacima.</w:t>
            </w:r>
          </w:p>
          <w:p w14:paraId="5469CD44" w14:textId="6CFCC111" w:rsidR="004815BD" w:rsidRPr="00984C70" w:rsidRDefault="004815BD" w:rsidP="00EC7CAF">
            <w:pPr>
              <w:keepLines/>
              <w:widowControl w:val="0"/>
              <w:rPr>
                <w:rFonts w:cstheme="minorHAnsi"/>
              </w:rPr>
            </w:pPr>
          </w:p>
        </w:tc>
        <w:tc>
          <w:tcPr>
            <w:tcW w:w="3150" w:type="dxa"/>
          </w:tcPr>
          <w:p w14:paraId="79F48F61" w14:textId="01C0F297" w:rsidR="004815BD" w:rsidRPr="00984C70" w:rsidRDefault="00982284" w:rsidP="00EC7CAF">
            <w:pPr>
              <w:keepLines/>
              <w:widowControl w:val="0"/>
              <w:rPr>
                <w:rFonts w:eastAsia="Calibri" w:cstheme="minorHAnsi"/>
              </w:rPr>
            </w:pPr>
            <w:r>
              <w:rPr>
                <w:rFonts w:eastAsia="Calibri" w:cstheme="minorHAnsi"/>
              </w:rPr>
              <w:t>T</w:t>
            </w:r>
            <w:r w:rsidRPr="00982284">
              <w:rPr>
                <w:rFonts w:eastAsia="Calibri" w:cstheme="minorHAnsi"/>
              </w:rPr>
              <w:t>okom čitave implementacije Projekta</w:t>
            </w:r>
            <w:r w:rsidR="004815BD" w:rsidRPr="00984C70">
              <w:rPr>
                <w:rFonts w:eastAsia="Calibri" w:cstheme="minorHAnsi"/>
              </w:rPr>
              <w:t xml:space="preserve">.  </w:t>
            </w:r>
          </w:p>
          <w:p w14:paraId="362D68BC" w14:textId="77777777" w:rsidR="004815BD" w:rsidRPr="00984C70" w:rsidRDefault="004815BD" w:rsidP="00EC7CAF">
            <w:pPr>
              <w:keepLines/>
              <w:widowControl w:val="0"/>
              <w:rPr>
                <w:rFonts w:eastAsia="Calibri" w:cstheme="minorHAnsi"/>
              </w:rPr>
            </w:pPr>
          </w:p>
          <w:p w14:paraId="0717CEBD" w14:textId="77777777" w:rsidR="004815BD" w:rsidRPr="00984C70" w:rsidRDefault="004815BD" w:rsidP="00EC7CAF">
            <w:pPr>
              <w:keepLines/>
              <w:widowControl w:val="0"/>
              <w:rPr>
                <w:rFonts w:eastAsia="Times New Roman" w:cstheme="minorHAnsi"/>
                <w:bCs/>
              </w:rPr>
            </w:pPr>
          </w:p>
        </w:tc>
        <w:tc>
          <w:tcPr>
            <w:tcW w:w="2160" w:type="dxa"/>
          </w:tcPr>
          <w:p w14:paraId="3762E55A" w14:textId="77777777" w:rsidR="004815BD" w:rsidRPr="00984C70" w:rsidRDefault="004815BD" w:rsidP="004E71C6">
            <w:pPr>
              <w:keepLines/>
              <w:widowControl w:val="0"/>
              <w:jc w:val="both"/>
              <w:rPr>
                <w:rFonts w:cstheme="minorHAnsi"/>
              </w:rPr>
            </w:pPr>
          </w:p>
          <w:p w14:paraId="68058C7A" w14:textId="46D12E86" w:rsidR="004815BD" w:rsidRPr="00984C70" w:rsidRDefault="004E71C6" w:rsidP="004E71C6">
            <w:pPr>
              <w:keepLines/>
              <w:widowControl w:val="0"/>
              <w:jc w:val="both"/>
              <w:rPr>
                <w:rFonts w:cstheme="minorHAnsi"/>
              </w:rPr>
            </w:pPr>
            <w:r w:rsidRPr="00984C70">
              <w:rPr>
                <w:rFonts w:cstheme="minorHAnsi"/>
              </w:rPr>
              <w:t>OITEG /PIU</w:t>
            </w:r>
          </w:p>
          <w:p w14:paraId="37EB1BE8" w14:textId="77777777" w:rsidR="004815BD" w:rsidRPr="00984C70" w:rsidRDefault="004815BD" w:rsidP="004E71C6">
            <w:pPr>
              <w:keepLines/>
              <w:widowControl w:val="0"/>
              <w:jc w:val="both"/>
              <w:rPr>
                <w:rFonts w:cstheme="minorHAnsi"/>
              </w:rPr>
            </w:pPr>
          </w:p>
        </w:tc>
      </w:tr>
      <w:tr w:rsidR="004815BD" w:rsidRPr="00984C70" w14:paraId="289D5239" w14:textId="77777777" w:rsidTr="32DC1B58">
        <w:trPr>
          <w:gridAfter w:val="1"/>
          <w:wAfter w:w="360" w:type="dxa"/>
          <w:trHeight w:val="20"/>
        </w:trPr>
        <w:tc>
          <w:tcPr>
            <w:tcW w:w="625" w:type="dxa"/>
          </w:tcPr>
          <w:p w14:paraId="2BC396A9" w14:textId="02299C0C" w:rsidR="004815BD" w:rsidRPr="00984C70" w:rsidRDefault="004815BD" w:rsidP="004815BD">
            <w:pPr>
              <w:keepLines/>
              <w:widowControl w:val="0"/>
              <w:jc w:val="center"/>
              <w:rPr>
                <w:rFonts w:cstheme="minorHAnsi"/>
              </w:rPr>
            </w:pPr>
            <w:r w:rsidRPr="00984C70">
              <w:rPr>
                <w:rFonts w:cstheme="minorHAnsi"/>
              </w:rPr>
              <w:t>1.4</w:t>
            </w:r>
          </w:p>
        </w:tc>
        <w:tc>
          <w:tcPr>
            <w:tcW w:w="8370" w:type="dxa"/>
          </w:tcPr>
          <w:p w14:paraId="24031ED2" w14:textId="73C33717" w:rsidR="004815BD" w:rsidRPr="00984C70" w:rsidRDefault="003D20E4" w:rsidP="00EC7CAF">
            <w:pPr>
              <w:keepLines/>
              <w:widowControl w:val="0"/>
              <w:jc w:val="both"/>
              <w:rPr>
                <w:rFonts w:cstheme="minorHAnsi"/>
                <w:b/>
                <w:color w:val="4472C4" w:themeColor="accent1"/>
              </w:rPr>
            </w:pPr>
            <w:r w:rsidRPr="003D20E4">
              <w:rPr>
                <w:rFonts w:cstheme="minorHAnsi"/>
                <w:b/>
                <w:color w:val="4472C4" w:themeColor="accent1"/>
              </w:rPr>
              <w:t>FINANSIRANJE ZA USLOVE VANREDNIH OKOLNOSTI</w:t>
            </w:r>
          </w:p>
          <w:p w14:paraId="4D1DD57A" w14:textId="03110E73" w:rsidR="003D20E4" w:rsidRPr="003D20E4" w:rsidRDefault="004815BD" w:rsidP="003D20E4">
            <w:pPr>
              <w:jc w:val="both"/>
              <w:rPr>
                <w:rFonts w:cstheme="minorHAnsi"/>
                <w:lang w:val="en-GB"/>
              </w:rPr>
            </w:pPr>
            <w:r w:rsidRPr="00984C70">
              <w:rPr>
                <w:rFonts w:eastAsia="Calibri" w:cstheme="minorHAnsi"/>
              </w:rPr>
              <w:t xml:space="preserve">1. </w:t>
            </w:r>
            <w:r w:rsidR="003D20E4">
              <w:rPr>
                <w:rFonts w:cstheme="minorHAnsi"/>
              </w:rPr>
              <w:t xml:space="preserve"> </w:t>
            </w:r>
            <w:r w:rsidR="003D20E4" w:rsidRPr="003D20E4">
              <w:rPr>
                <w:rFonts w:cstheme="minorHAnsi"/>
                <w:lang w:val="en-GB"/>
              </w:rPr>
              <w:t>Pripremiti i usvojiti Operativni priručnik za komponentu za odgovor u vanrednim situacijama (CERC priručnik), koji će definisati prihvatljive aktivnosti, procedure aktivacije i obezbediti da se sve aktivnosti finansirane u okviru CERC-a pregledaju (screening) i sprovode u skladu sa primenjivim ekološkim i socijalnim zahtevima Okvira za životnu sredinu i socijalna pitanja (ESF).</w:t>
            </w:r>
          </w:p>
          <w:p w14:paraId="26C22792" w14:textId="3869820D" w:rsidR="004815BD" w:rsidRPr="003D20E4" w:rsidRDefault="003D20E4" w:rsidP="00EC7CAF">
            <w:pPr>
              <w:jc w:val="both"/>
              <w:rPr>
                <w:rFonts w:cstheme="minorHAnsi"/>
                <w:lang w:val="en-GB"/>
              </w:rPr>
            </w:pPr>
            <w:r w:rsidRPr="003D20E4">
              <w:rPr>
                <w:rFonts w:cstheme="minorHAnsi"/>
                <w:lang w:val="en-GB"/>
              </w:rPr>
              <w:t>Obezbediti da CERC priručnik, kako je navedeno u Sporazumu, uključuje opis aranžmana za procenu i upravljanje ekološkim i socijalnim pitanjima, u skladu sa Standardima zaštite životne sredine i socijalnim standardima (ESS)</w:t>
            </w:r>
            <w:r>
              <w:rPr>
                <w:rFonts w:cstheme="minorHAnsi"/>
                <w:lang w:val="en-GB"/>
              </w:rPr>
              <w:t>.</w:t>
            </w:r>
          </w:p>
          <w:p w14:paraId="0174D83F" w14:textId="77777777" w:rsidR="004815BD" w:rsidRPr="00984C70" w:rsidRDefault="004815BD" w:rsidP="00EC7CAF">
            <w:pPr>
              <w:jc w:val="both"/>
              <w:rPr>
                <w:rFonts w:eastAsia="Calibri" w:cstheme="minorHAnsi"/>
              </w:rPr>
            </w:pPr>
          </w:p>
          <w:p w14:paraId="7A9891F2" w14:textId="7B02FEAA" w:rsidR="004815BD" w:rsidRPr="00984C70" w:rsidRDefault="003D20E4" w:rsidP="00EC7CAF">
            <w:pPr>
              <w:jc w:val="both"/>
              <w:rPr>
                <w:rFonts w:eastAsia="Calibri" w:cstheme="minorHAnsi"/>
              </w:rPr>
            </w:pPr>
            <w:r>
              <w:rPr>
                <w:rFonts w:eastAsia="Calibri" w:cstheme="minorHAnsi"/>
              </w:rPr>
              <w:t xml:space="preserve">2. </w:t>
            </w:r>
            <w:r w:rsidRPr="003D20E4">
              <w:rPr>
                <w:rFonts w:eastAsia="Calibri" w:cstheme="minorHAnsi"/>
              </w:rPr>
              <w:t xml:space="preserve">Sprovoditi ekološke i </w:t>
            </w:r>
            <w:r w:rsidR="005E3032">
              <w:rPr>
                <w:rFonts w:eastAsia="Calibri" w:cstheme="minorHAnsi"/>
              </w:rPr>
              <w:t xml:space="preserve">društvene </w:t>
            </w:r>
            <w:r w:rsidRPr="003D20E4">
              <w:rPr>
                <w:rFonts w:eastAsia="Calibri" w:cstheme="minorHAnsi"/>
              </w:rPr>
              <w:t>odredbe CERC priručnika, uključujući, po potrebi, i druge E&amp;S dokumente koji su u njemu propisani</w:t>
            </w:r>
            <w:r w:rsidR="004815BD" w:rsidRPr="00984C70">
              <w:rPr>
                <w:rFonts w:cstheme="minorHAnsi"/>
              </w:rPr>
              <w:t xml:space="preserve">. </w:t>
            </w:r>
          </w:p>
          <w:p w14:paraId="4A23DF6F" w14:textId="77777777" w:rsidR="004815BD" w:rsidRPr="00984C70" w:rsidRDefault="004815BD" w:rsidP="00EC7CAF">
            <w:pPr>
              <w:keepLines/>
              <w:widowControl w:val="0"/>
              <w:jc w:val="both"/>
              <w:rPr>
                <w:rFonts w:cstheme="minorHAnsi"/>
                <w:b/>
                <w:color w:val="4472C4" w:themeColor="accent1"/>
              </w:rPr>
            </w:pPr>
          </w:p>
          <w:p w14:paraId="5D3F87B4" w14:textId="4C8FD86F" w:rsidR="004815BD" w:rsidRPr="00984C70" w:rsidRDefault="004815BD" w:rsidP="00EC7CAF">
            <w:pPr>
              <w:keepLines/>
              <w:widowControl w:val="0"/>
              <w:jc w:val="both"/>
              <w:rPr>
                <w:rFonts w:cstheme="minorHAnsi"/>
                <w:b/>
                <w:color w:val="5B9BD5" w:themeColor="accent5"/>
              </w:rPr>
            </w:pPr>
          </w:p>
        </w:tc>
        <w:tc>
          <w:tcPr>
            <w:tcW w:w="3150" w:type="dxa"/>
          </w:tcPr>
          <w:p w14:paraId="42D3FC47" w14:textId="77777777" w:rsidR="00C03246" w:rsidRPr="00984C70" w:rsidRDefault="00C03246" w:rsidP="00EC7CAF">
            <w:pPr>
              <w:jc w:val="both"/>
              <w:rPr>
                <w:rFonts w:cstheme="minorHAnsi"/>
              </w:rPr>
            </w:pPr>
          </w:p>
          <w:p w14:paraId="3F0A9047" w14:textId="77777777" w:rsidR="00C03246" w:rsidRPr="00984C70" w:rsidRDefault="00C03246" w:rsidP="00EC7CAF">
            <w:pPr>
              <w:jc w:val="both"/>
              <w:rPr>
                <w:rFonts w:cstheme="minorHAnsi"/>
              </w:rPr>
            </w:pPr>
          </w:p>
          <w:p w14:paraId="6945F12F" w14:textId="2325B52C" w:rsidR="004815BD" w:rsidRPr="00984C70" w:rsidRDefault="003D20E4" w:rsidP="00EC7CAF">
            <w:pPr>
              <w:jc w:val="both"/>
              <w:rPr>
                <w:rFonts w:cstheme="minorHAnsi"/>
              </w:rPr>
            </w:pPr>
            <w:r>
              <w:rPr>
                <w:rFonts w:cstheme="minorHAnsi"/>
              </w:rPr>
              <w:t xml:space="preserve">1. </w:t>
            </w:r>
            <w:r w:rsidRPr="003D20E4">
              <w:rPr>
                <w:rFonts w:cstheme="minorHAnsi"/>
              </w:rPr>
              <w:t>Priprema CERC priručnika i, po potrebi, drugih E&amp;S dokumenata, u formi i sadržini prihvatljivoj za Banku, predstavlja uslov za povlačenje sredstava u skladu sa Odeljkom III.B.1 Aneksa 2 Sporazuma</w:t>
            </w:r>
            <w:r w:rsidR="004815BD" w:rsidRPr="00984C70">
              <w:rPr>
                <w:rFonts w:cstheme="minorHAnsi"/>
              </w:rPr>
              <w:t>.</w:t>
            </w:r>
          </w:p>
          <w:p w14:paraId="3B428E63" w14:textId="77777777" w:rsidR="004815BD" w:rsidRPr="00984C70" w:rsidRDefault="004815BD" w:rsidP="00EC7CAF">
            <w:pPr>
              <w:keepLines/>
              <w:widowControl w:val="0"/>
              <w:jc w:val="both"/>
              <w:rPr>
                <w:rFonts w:eastAsia="Calibri" w:cstheme="minorHAnsi"/>
              </w:rPr>
            </w:pPr>
            <w:r w:rsidRPr="00984C70">
              <w:rPr>
                <w:rFonts w:eastAsia="Calibri" w:cstheme="minorHAnsi"/>
              </w:rPr>
              <w:lastRenderedPageBreak/>
              <w:t xml:space="preserve"> </w:t>
            </w:r>
          </w:p>
          <w:p w14:paraId="035D3E8A" w14:textId="13276A58" w:rsidR="004815BD" w:rsidRPr="00984C70" w:rsidRDefault="008D73D8" w:rsidP="00EC7CAF">
            <w:pPr>
              <w:keepLines/>
              <w:widowControl w:val="0"/>
              <w:jc w:val="both"/>
              <w:rPr>
                <w:rFonts w:eastAsia="Times New Roman" w:cstheme="minorHAnsi"/>
              </w:rPr>
            </w:pPr>
            <w:r>
              <w:rPr>
                <w:rFonts w:eastAsia="Calibri" w:cstheme="minorHAnsi"/>
              </w:rPr>
              <w:t xml:space="preserve">2. </w:t>
            </w:r>
            <w:r w:rsidRPr="008D73D8">
              <w:rPr>
                <w:rFonts w:eastAsia="Calibri" w:cstheme="minorHAnsi"/>
              </w:rPr>
              <w:t>U skladu sa rokovima definisanim u CERC priručniku</w:t>
            </w:r>
            <w:r w:rsidR="004815BD" w:rsidRPr="00984C70">
              <w:rPr>
                <w:rFonts w:eastAsia="Calibri" w:cstheme="minorHAnsi"/>
              </w:rPr>
              <w:t xml:space="preserve"> </w:t>
            </w:r>
          </w:p>
        </w:tc>
        <w:tc>
          <w:tcPr>
            <w:tcW w:w="2160" w:type="dxa"/>
          </w:tcPr>
          <w:p w14:paraId="6979F040" w14:textId="77777777" w:rsidR="004815BD" w:rsidRPr="00984C70" w:rsidRDefault="00566566" w:rsidP="004815BD">
            <w:pPr>
              <w:keepLines/>
              <w:widowControl w:val="0"/>
              <w:rPr>
                <w:rFonts w:cstheme="minorHAnsi"/>
              </w:rPr>
            </w:pPr>
            <w:r w:rsidRPr="00984C70">
              <w:rPr>
                <w:rFonts w:cstheme="minorHAnsi"/>
              </w:rPr>
              <w:lastRenderedPageBreak/>
              <w:t xml:space="preserve">OITEG </w:t>
            </w:r>
          </w:p>
          <w:p w14:paraId="31DBB3A3" w14:textId="77777777" w:rsidR="00402D4D" w:rsidRPr="00984C70" w:rsidRDefault="00402D4D" w:rsidP="00402D4D">
            <w:pPr>
              <w:rPr>
                <w:rFonts w:cstheme="minorHAnsi"/>
              </w:rPr>
            </w:pPr>
          </w:p>
          <w:p w14:paraId="61AB5038" w14:textId="77777777" w:rsidR="00402D4D" w:rsidRPr="00984C70" w:rsidRDefault="00402D4D" w:rsidP="00402D4D">
            <w:pPr>
              <w:rPr>
                <w:rFonts w:cstheme="minorHAnsi"/>
              </w:rPr>
            </w:pPr>
          </w:p>
          <w:p w14:paraId="74EFB775" w14:textId="77777777" w:rsidR="00402D4D" w:rsidRPr="00984C70" w:rsidRDefault="00402D4D" w:rsidP="00402D4D">
            <w:pPr>
              <w:rPr>
                <w:rFonts w:cstheme="minorHAnsi"/>
              </w:rPr>
            </w:pPr>
          </w:p>
          <w:p w14:paraId="4CDB954D" w14:textId="77777777" w:rsidR="00402D4D" w:rsidRPr="00984C70" w:rsidRDefault="00402D4D" w:rsidP="00402D4D">
            <w:pPr>
              <w:rPr>
                <w:rFonts w:cstheme="minorHAnsi"/>
              </w:rPr>
            </w:pPr>
          </w:p>
          <w:p w14:paraId="33A6FFC7" w14:textId="77777777" w:rsidR="00402D4D" w:rsidRPr="00984C70" w:rsidRDefault="00402D4D" w:rsidP="00402D4D">
            <w:pPr>
              <w:rPr>
                <w:rFonts w:cstheme="minorHAnsi"/>
              </w:rPr>
            </w:pPr>
          </w:p>
          <w:p w14:paraId="65879F09" w14:textId="77777777" w:rsidR="00402D4D" w:rsidRPr="00984C70" w:rsidRDefault="00402D4D" w:rsidP="00402D4D">
            <w:pPr>
              <w:rPr>
                <w:rFonts w:cstheme="minorHAnsi"/>
              </w:rPr>
            </w:pPr>
          </w:p>
          <w:p w14:paraId="050BF1F1" w14:textId="77777777" w:rsidR="00402D4D" w:rsidRPr="00984C70" w:rsidRDefault="00402D4D" w:rsidP="00402D4D">
            <w:pPr>
              <w:rPr>
                <w:rFonts w:cstheme="minorHAnsi"/>
              </w:rPr>
            </w:pPr>
          </w:p>
          <w:p w14:paraId="4FD27316" w14:textId="77777777" w:rsidR="00402D4D" w:rsidRPr="00984C70" w:rsidRDefault="00402D4D" w:rsidP="00402D4D">
            <w:pPr>
              <w:rPr>
                <w:rFonts w:cstheme="minorHAnsi"/>
              </w:rPr>
            </w:pPr>
          </w:p>
          <w:p w14:paraId="2B34EE0E" w14:textId="0AED815C" w:rsidR="00402D4D" w:rsidRPr="00984C70" w:rsidRDefault="00402D4D" w:rsidP="00402D4D">
            <w:pPr>
              <w:rPr>
                <w:rFonts w:cstheme="minorHAnsi"/>
              </w:rPr>
            </w:pPr>
          </w:p>
        </w:tc>
      </w:tr>
      <w:tr w:rsidR="004815BD" w:rsidRPr="00984C70" w14:paraId="353D51ED" w14:textId="77777777" w:rsidTr="32DC1B58">
        <w:trPr>
          <w:gridAfter w:val="1"/>
          <w:wAfter w:w="360" w:type="dxa"/>
          <w:cantSplit/>
          <w:trHeight w:val="233"/>
        </w:trPr>
        <w:tc>
          <w:tcPr>
            <w:tcW w:w="14305" w:type="dxa"/>
            <w:gridSpan w:val="4"/>
            <w:shd w:val="clear" w:color="auto" w:fill="F4B083" w:themeFill="accent2" w:themeFillTint="99"/>
          </w:tcPr>
          <w:p w14:paraId="6169DC82" w14:textId="0099C11E" w:rsidR="004815BD" w:rsidRPr="00984C70" w:rsidRDefault="00EC2047" w:rsidP="004815BD">
            <w:pPr>
              <w:keepLines/>
              <w:widowControl w:val="0"/>
              <w:rPr>
                <w:rFonts w:cstheme="minorHAnsi"/>
              </w:rPr>
            </w:pPr>
            <w:r>
              <w:rPr>
                <w:rFonts w:cstheme="minorHAnsi"/>
                <w:b/>
              </w:rPr>
              <w:lastRenderedPageBreak/>
              <w:t xml:space="preserve">ESS 2:  </w:t>
            </w:r>
            <w:r w:rsidRPr="00EC2047">
              <w:rPr>
                <w:rFonts w:cstheme="minorHAnsi"/>
                <w:b/>
              </w:rPr>
              <w:t>USLOVI RADA I RADNI ODNOSI</w:t>
            </w:r>
          </w:p>
        </w:tc>
      </w:tr>
    </w:tbl>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4815BD" w:rsidRPr="00984C70" w14:paraId="2676CFF1" w14:textId="77777777" w:rsidTr="32DC1B58">
        <w:trPr>
          <w:trHeight w:val="20"/>
        </w:trPr>
        <w:tc>
          <w:tcPr>
            <w:tcW w:w="625" w:type="dxa"/>
          </w:tcPr>
          <w:p w14:paraId="0C7CBDC1" w14:textId="77777777" w:rsidR="004815BD" w:rsidRPr="00984C70" w:rsidRDefault="004815BD" w:rsidP="004815BD">
            <w:pPr>
              <w:keepLines/>
              <w:framePr w:hSpace="180" w:wrap="around" w:vAnchor="text" w:hAnchor="text" w:y="1"/>
              <w:widowControl w:val="0"/>
              <w:suppressOverlap/>
              <w:jc w:val="center"/>
              <w:rPr>
                <w:rFonts w:cstheme="minorHAnsi"/>
              </w:rPr>
            </w:pPr>
            <w:r w:rsidRPr="00984C70">
              <w:rPr>
                <w:rFonts w:cstheme="minorHAnsi"/>
              </w:rPr>
              <w:t>2.1</w:t>
            </w:r>
          </w:p>
        </w:tc>
        <w:tc>
          <w:tcPr>
            <w:tcW w:w="8370" w:type="dxa"/>
          </w:tcPr>
          <w:p w14:paraId="2888419F" w14:textId="2B84C705" w:rsidR="004815BD" w:rsidRPr="00984C70" w:rsidRDefault="00DE220D" w:rsidP="00EC7CAF">
            <w:pPr>
              <w:keepLines/>
              <w:framePr w:hSpace="180" w:wrap="around" w:vAnchor="text" w:hAnchor="text" w:y="1"/>
              <w:widowControl w:val="0"/>
              <w:suppressOverlap/>
              <w:jc w:val="both"/>
              <w:rPr>
                <w:rFonts w:cstheme="minorHAnsi"/>
                <w:b/>
                <w:color w:val="4472C4" w:themeColor="accent1"/>
              </w:rPr>
            </w:pPr>
            <w:r w:rsidRPr="00DE220D">
              <w:rPr>
                <w:rFonts w:cstheme="minorHAnsi"/>
                <w:b/>
                <w:color w:val="4472C4" w:themeColor="accent1"/>
              </w:rPr>
              <w:t>PROCEDURE UPRAVLJANJA RADNOM SNAGOM</w:t>
            </w:r>
            <w:r w:rsidR="00860E37" w:rsidRPr="00984C70">
              <w:rPr>
                <w:rFonts w:cstheme="minorHAnsi"/>
                <w:b/>
                <w:color w:val="4472C4" w:themeColor="accent1"/>
              </w:rPr>
              <w:t xml:space="preserve">; </w:t>
            </w:r>
          </w:p>
          <w:p w14:paraId="128DB076" w14:textId="77777777" w:rsidR="003A4A00" w:rsidRPr="00984C70" w:rsidRDefault="003A4A00" w:rsidP="003A4A00">
            <w:pPr>
              <w:keepLines/>
              <w:widowControl w:val="0"/>
              <w:rPr>
                <w:rFonts w:cstheme="minorHAnsi"/>
              </w:rPr>
            </w:pPr>
          </w:p>
          <w:p w14:paraId="4D82D696" w14:textId="5D7AD87A" w:rsidR="00DE220D" w:rsidRPr="00DE220D" w:rsidRDefault="00DE220D" w:rsidP="00DE220D">
            <w:pPr>
              <w:keepLines/>
              <w:widowControl w:val="0"/>
              <w:rPr>
                <w:rFonts w:cstheme="minorHAnsi"/>
                <w:lang w:val="en-GB"/>
              </w:rPr>
            </w:pPr>
            <w:r w:rsidRPr="00DE220D">
              <w:rPr>
                <w:rFonts w:cstheme="minorHAnsi"/>
                <w:lang w:val="en-GB"/>
              </w:rPr>
              <w:t xml:space="preserve">Pripremiti i primeniti Procedure upravljanja radnom snagom (LMP) za Projekat kao deo E&amp;S </w:t>
            </w:r>
            <w:r w:rsidR="005E3032">
              <w:rPr>
                <w:rFonts w:cstheme="minorHAnsi"/>
                <w:lang w:val="en-GB"/>
              </w:rPr>
              <w:t>odeljka</w:t>
            </w:r>
            <w:r w:rsidRPr="00DE220D">
              <w:rPr>
                <w:rFonts w:cstheme="minorHAnsi"/>
                <w:lang w:val="en-GB"/>
              </w:rPr>
              <w:t xml:space="preserve"> Operativnog priručnika projekta (POM).</w:t>
            </w:r>
          </w:p>
          <w:p w14:paraId="561D260C" w14:textId="0B546522" w:rsidR="00DE220D" w:rsidRPr="00DE220D" w:rsidRDefault="00DE220D" w:rsidP="00DE220D">
            <w:pPr>
              <w:keepLines/>
              <w:widowControl w:val="0"/>
              <w:rPr>
                <w:rFonts w:cstheme="minorHAnsi"/>
                <w:lang w:val="en-GB"/>
              </w:rPr>
            </w:pPr>
            <w:r w:rsidRPr="00DE220D">
              <w:rPr>
                <w:rFonts w:cstheme="minorHAnsi"/>
                <w:lang w:val="en-GB"/>
              </w:rPr>
              <w:t>LMP je osmišljen tako da obezbedi da se radnici angažuju i upravljaju tokom realizacije projektnih aktivnosti u skladu sa odredbama ESS2.</w:t>
            </w:r>
            <w:r w:rsidR="005E3032">
              <w:rPr>
                <w:rFonts w:cstheme="minorHAnsi"/>
                <w:lang w:val="en-GB"/>
              </w:rPr>
              <w:t xml:space="preserve"> </w:t>
            </w:r>
            <w:r w:rsidRPr="00DE220D">
              <w:rPr>
                <w:rFonts w:cstheme="minorHAnsi"/>
                <w:lang w:val="en-GB"/>
              </w:rPr>
              <w:t>U tom cilju, obezbediti da se sledeće mere odraze u POM-u i sprovode tokom čitave implementacije Projekta:</w:t>
            </w:r>
          </w:p>
          <w:p w14:paraId="608A158E" w14:textId="6988CD4C" w:rsidR="00547E58" w:rsidRPr="00636248" w:rsidRDefault="00DE220D" w:rsidP="00636248">
            <w:pPr>
              <w:keepLines/>
              <w:widowControl w:val="0"/>
              <w:rPr>
                <w:rFonts w:cstheme="minorHAnsi"/>
                <w:lang w:val="en-GB"/>
              </w:rPr>
            </w:pPr>
            <w:r w:rsidRPr="00DE220D">
              <w:rPr>
                <w:rFonts w:cstheme="minorHAnsi"/>
                <w:lang w:val="en-GB"/>
              </w:rPr>
              <w:t xml:space="preserve">a) Radnicima obezbediti jasne i razumljive informacije i dokumentaciju u vezi sa uslovima njihovog zapošljavanja putem pisanih ugovora o radu, koji definišu njihova prava, uključujući, između ostalog, prava koja se odnose na radno vreme, plate, prekovremeni rad, naknade i beneficije, kao i pisano obaveštenje o prestanku radnog odnosa i detalje o otpremninama, gde je </w:t>
            </w:r>
            <w:r w:rsidR="00636248">
              <w:rPr>
                <w:rFonts w:cstheme="minorHAnsi"/>
                <w:lang w:val="en-GB"/>
              </w:rPr>
              <w:t>potrebno</w:t>
            </w:r>
            <w:r w:rsidR="00547E58" w:rsidRPr="00984C70">
              <w:rPr>
                <w:rFonts w:eastAsia="Calibri" w:cstheme="minorHAnsi"/>
                <w:lang w:val="en-GB"/>
              </w:rPr>
              <w:t>.</w:t>
            </w:r>
          </w:p>
          <w:p w14:paraId="6E903F82" w14:textId="77777777" w:rsidR="00636248" w:rsidRPr="00636248" w:rsidRDefault="00636248" w:rsidP="00636248">
            <w:pPr>
              <w:keepLines/>
              <w:widowControl w:val="0"/>
              <w:jc w:val="both"/>
              <w:rPr>
                <w:rFonts w:eastAsia="Calibri" w:cstheme="minorHAnsi"/>
                <w:lang w:val="en-GB"/>
              </w:rPr>
            </w:pPr>
            <w:r w:rsidRPr="00636248">
              <w:rPr>
                <w:rFonts w:eastAsia="Calibri" w:cstheme="minorHAnsi"/>
                <w:lang w:val="en-GB"/>
              </w:rPr>
              <w:t>b) Sprovesti mere zaštite zdravlja i bezbednosti na radu, uzimajući u obzir Opšte smernice za zaštitu životne sredine, zdravlja i bezbednosti (EHSGs), kao i druge relevantne dobre međunarodne industrijske prakse (GIIP).</w:t>
            </w:r>
          </w:p>
          <w:p w14:paraId="2EE153DE" w14:textId="3FFC17DB" w:rsidR="00636248" w:rsidRPr="00636248" w:rsidRDefault="00636248" w:rsidP="00636248">
            <w:pPr>
              <w:keepLines/>
              <w:widowControl w:val="0"/>
              <w:jc w:val="both"/>
              <w:rPr>
                <w:rFonts w:eastAsia="Calibri" w:cstheme="minorHAnsi"/>
                <w:lang w:val="en-GB"/>
              </w:rPr>
            </w:pPr>
            <w:r w:rsidRPr="00636248">
              <w:rPr>
                <w:rFonts w:eastAsia="Calibri" w:cstheme="minorHAnsi"/>
                <w:lang w:val="en-GB"/>
              </w:rPr>
              <w:t>c) Sprovesti mere, po potrebi, između ostalog: (i) sprečavanje korišćenja svih oblika prinudnog i deč</w:t>
            </w:r>
            <w:r w:rsidR="00663EE4">
              <w:rPr>
                <w:rFonts w:eastAsia="Calibri" w:cstheme="minorHAnsi"/>
                <w:lang w:val="en-GB"/>
              </w:rPr>
              <w:t>i</w:t>
            </w:r>
            <w:r w:rsidRPr="00636248">
              <w:rPr>
                <w:rFonts w:eastAsia="Calibri" w:cstheme="minorHAnsi"/>
                <w:lang w:val="en-GB"/>
              </w:rPr>
              <w:t>jeg rada; (ii) omogućavanje radnicima da koriste, između ostalog, mehanizme za podnošenje pritužbi i žalbi bez straha od odmazde, kao i efektivnu slobodu udruživanja i učlanjenja u sindikate ili alternativne mehanizme za</w:t>
            </w:r>
            <w:r w:rsidR="00663EE4">
              <w:rPr>
                <w:rFonts w:eastAsia="Calibri" w:cstheme="minorHAnsi"/>
                <w:lang w:val="en-GB"/>
              </w:rPr>
              <w:t xml:space="preserve"> izražavanje svojih nedoumica</w:t>
            </w:r>
            <w:r w:rsidRPr="00636248">
              <w:rPr>
                <w:rFonts w:eastAsia="Calibri" w:cstheme="minorHAnsi"/>
                <w:lang w:val="en-GB"/>
              </w:rPr>
              <w:t xml:space="preserve"> i zaštitu prava u vezi sa radnim uslovima; i</w:t>
            </w:r>
          </w:p>
          <w:p w14:paraId="0E4A468F" w14:textId="76C6FC27" w:rsidR="003D0EF3" w:rsidRPr="00636248" w:rsidRDefault="00636248" w:rsidP="00EC7CAF">
            <w:pPr>
              <w:keepLines/>
              <w:widowControl w:val="0"/>
              <w:jc w:val="both"/>
              <w:rPr>
                <w:rFonts w:eastAsia="Calibri" w:cstheme="minorHAnsi"/>
                <w:lang w:val="en-GB"/>
              </w:rPr>
            </w:pPr>
            <w:r w:rsidRPr="00636248">
              <w:rPr>
                <w:rFonts w:eastAsia="Calibri" w:cstheme="minorHAnsi"/>
                <w:lang w:val="en-GB"/>
              </w:rPr>
              <w:t>d) Primeniti Kodeks ponašanja za radnike, koji uključuje mere za prevenciju i reagovanje na slučajeve seksualne eksploatacije i zlostavljanja (SEA) i seksualnog uznemiravanja (SH), koji obezbeđuje zaštitu od zlostavljanja na radnom mestu i promoviše nediskriminaciju i jednake mogućnosti za sve.</w:t>
            </w:r>
          </w:p>
          <w:p w14:paraId="5951BE7F" w14:textId="00A28D59" w:rsidR="004815BD" w:rsidRPr="00984C70" w:rsidRDefault="004815BD" w:rsidP="00EC7CAF">
            <w:pPr>
              <w:keepLines/>
              <w:widowControl w:val="0"/>
              <w:jc w:val="both"/>
              <w:rPr>
                <w:rFonts w:cstheme="minorHAnsi"/>
                <w:b/>
                <w:bCs/>
                <w:color w:val="4472C4" w:themeColor="accent1"/>
              </w:rPr>
            </w:pPr>
          </w:p>
        </w:tc>
        <w:tc>
          <w:tcPr>
            <w:tcW w:w="3150" w:type="dxa"/>
          </w:tcPr>
          <w:p w14:paraId="7152E8F1" w14:textId="77777777" w:rsidR="004815BD" w:rsidRPr="00984C70" w:rsidRDefault="004815BD" w:rsidP="00EC7CAF">
            <w:pPr>
              <w:keepLines/>
              <w:widowControl w:val="0"/>
              <w:jc w:val="both"/>
              <w:rPr>
                <w:rFonts w:cstheme="minorHAnsi"/>
              </w:rPr>
            </w:pPr>
          </w:p>
          <w:p w14:paraId="5F1484E4" w14:textId="4117C628" w:rsidR="00636248" w:rsidRPr="00636248" w:rsidRDefault="00636248" w:rsidP="00636248">
            <w:pPr>
              <w:keepLines/>
              <w:widowControl w:val="0"/>
              <w:jc w:val="both"/>
              <w:rPr>
                <w:rFonts w:eastAsia="Times New Roman" w:cstheme="minorHAnsi"/>
                <w:lang w:val="en-GB"/>
              </w:rPr>
            </w:pPr>
            <w:r w:rsidRPr="00636248">
              <w:rPr>
                <w:rFonts w:eastAsia="Times New Roman" w:cstheme="minorHAnsi"/>
                <w:lang w:val="en-GB"/>
              </w:rPr>
              <w:t>U Operativnom priručniku projekta (POM) utvrditi relevantne odredbe Procedure upravljanja radnom snagom (LMP) pre Datuma stupanja na snagu.</w:t>
            </w:r>
            <w:r>
              <w:rPr>
                <w:rFonts w:eastAsia="Times New Roman" w:cstheme="minorHAnsi"/>
                <w:lang w:val="en-GB"/>
              </w:rPr>
              <w:t xml:space="preserve"> </w:t>
            </w:r>
            <w:r w:rsidRPr="00636248">
              <w:rPr>
                <w:rFonts w:eastAsia="Times New Roman" w:cstheme="minorHAnsi"/>
                <w:lang w:val="en-GB"/>
              </w:rPr>
              <w:t>Primjenjivati ih tokom čitave implementacije Projekta</w:t>
            </w:r>
          </w:p>
          <w:p w14:paraId="14BF5832" w14:textId="0DE39CD2" w:rsidR="004815BD" w:rsidRPr="00984C70" w:rsidRDefault="004815BD" w:rsidP="00EC7CAF">
            <w:pPr>
              <w:keepLines/>
              <w:widowControl w:val="0"/>
              <w:jc w:val="both"/>
              <w:rPr>
                <w:rFonts w:eastAsia="Times New Roman" w:cstheme="minorHAnsi"/>
              </w:rPr>
            </w:pPr>
          </w:p>
        </w:tc>
        <w:tc>
          <w:tcPr>
            <w:tcW w:w="2160" w:type="dxa"/>
          </w:tcPr>
          <w:p w14:paraId="3A3B08C4" w14:textId="77777777" w:rsidR="004B2E24" w:rsidRPr="00984C70" w:rsidRDefault="004B2E24" w:rsidP="004815BD">
            <w:pPr>
              <w:keepLines/>
              <w:widowControl w:val="0"/>
              <w:rPr>
                <w:rFonts w:cstheme="minorHAnsi"/>
              </w:rPr>
            </w:pPr>
          </w:p>
          <w:p w14:paraId="0BA72659" w14:textId="12E01966" w:rsidR="004815BD" w:rsidRPr="00984C70" w:rsidRDefault="00547E58" w:rsidP="004815BD">
            <w:pPr>
              <w:keepLines/>
              <w:widowControl w:val="0"/>
              <w:rPr>
                <w:rFonts w:cstheme="minorHAnsi"/>
              </w:rPr>
            </w:pPr>
            <w:r w:rsidRPr="00984C70">
              <w:rPr>
                <w:rFonts w:cstheme="minorHAnsi"/>
              </w:rPr>
              <w:t>OITEG/PIU</w:t>
            </w:r>
          </w:p>
        </w:tc>
      </w:tr>
    </w:tbl>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4815BD" w:rsidRPr="00984C70" w14:paraId="57DC9F87" w14:textId="77777777" w:rsidTr="00D731FD">
        <w:trPr>
          <w:trHeight w:val="20"/>
        </w:trPr>
        <w:tc>
          <w:tcPr>
            <w:tcW w:w="625" w:type="dxa"/>
          </w:tcPr>
          <w:p w14:paraId="14CE51DA" w14:textId="2CB57E32" w:rsidR="004815BD" w:rsidRPr="00984C70" w:rsidRDefault="004815BD" w:rsidP="004815BD">
            <w:pPr>
              <w:keepLines/>
              <w:widowControl w:val="0"/>
              <w:jc w:val="center"/>
              <w:rPr>
                <w:rFonts w:cstheme="minorHAnsi"/>
              </w:rPr>
            </w:pPr>
            <w:r w:rsidRPr="00984C70">
              <w:rPr>
                <w:rFonts w:cstheme="minorHAnsi"/>
              </w:rPr>
              <w:lastRenderedPageBreak/>
              <w:t>2.</w:t>
            </w:r>
            <w:r w:rsidR="000F1739" w:rsidRPr="00984C70">
              <w:rPr>
                <w:rFonts w:cstheme="minorHAnsi"/>
              </w:rPr>
              <w:t>2</w:t>
            </w:r>
          </w:p>
        </w:tc>
        <w:tc>
          <w:tcPr>
            <w:tcW w:w="8370" w:type="dxa"/>
          </w:tcPr>
          <w:p w14:paraId="6FCD3765" w14:textId="63FCDCB6" w:rsidR="001E0465" w:rsidRPr="001E0465" w:rsidRDefault="001E0465" w:rsidP="001E0465">
            <w:pPr>
              <w:pStyle w:val="MainText"/>
              <w:widowControl w:val="0"/>
              <w:spacing w:line="240" w:lineRule="auto"/>
              <w:jc w:val="both"/>
              <w:rPr>
                <w:rFonts w:asciiTheme="minorHAnsi" w:eastAsiaTheme="minorHAnsi" w:hAnsiTheme="minorHAnsi" w:cstheme="minorHAnsi"/>
                <w:b/>
                <w:bCs/>
                <w:color w:val="4472C4" w:themeColor="accent1"/>
                <w:sz w:val="22"/>
              </w:rPr>
            </w:pPr>
            <w:r w:rsidRPr="001E0465">
              <w:rPr>
                <w:rFonts w:asciiTheme="minorHAnsi" w:eastAsiaTheme="minorHAnsi" w:hAnsiTheme="minorHAnsi" w:cstheme="minorHAnsi"/>
                <w:b/>
                <w:bCs/>
                <w:color w:val="4472C4" w:themeColor="accent1"/>
                <w:sz w:val="22"/>
              </w:rPr>
              <w:t>MEHANIZAM ZA PRITUŽBE PROJEKTNIH RADNIKA</w:t>
            </w:r>
          </w:p>
          <w:p w14:paraId="2ED30AB7" w14:textId="77777777" w:rsidR="001E0465" w:rsidRPr="001E0465" w:rsidRDefault="001E0465" w:rsidP="001E0465">
            <w:pPr>
              <w:pStyle w:val="MainText"/>
              <w:keepLines/>
              <w:widowControl w:val="0"/>
              <w:spacing w:after="0"/>
              <w:jc w:val="both"/>
              <w:rPr>
                <w:rFonts w:cstheme="minorHAnsi"/>
              </w:rPr>
            </w:pPr>
            <w:r w:rsidRPr="001E0465">
              <w:rPr>
                <w:rFonts w:cstheme="minorHAnsi"/>
              </w:rPr>
              <w:t>Uspostaviti i primenjivati mehanizam za pritužbe projektnih radnika, kako je opisano u LMP-u i u skladu sa ESS2 standardom</w:t>
            </w:r>
          </w:p>
          <w:p w14:paraId="0230193B" w14:textId="704DB2B2" w:rsidR="004815BD" w:rsidRPr="00984C70" w:rsidRDefault="004815BD" w:rsidP="00EC7CAF">
            <w:pPr>
              <w:jc w:val="both"/>
              <w:rPr>
                <w:rFonts w:cstheme="minorHAnsi"/>
              </w:rPr>
            </w:pPr>
          </w:p>
        </w:tc>
        <w:tc>
          <w:tcPr>
            <w:tcW w:w="3150" w:type="dxa"/>
          </w:tcPr>
          <w:p w14:paraId="0A44A229" w14:textId="394FF896" w:rsidR="004815BD" w:rsidRPr="00984C70" w:rsidRDefault="001E0465" w:rsidP="00EC7CAF">
            <w:pPr>
              <w:keepLines/>
              <w:widowControl w:val="0"/>
              <w:jc w:val="both"/>
              <w:rPr>
                <w:rFonts w:cstheme="minorHAnsi"/>
                <w:lang w:eastAsia="en-GB"/>
              </w:rPr>
            </w:pPr>
            <w:r w:rsidRPr="001E0465">
              <w:rPr>
                <w:rFonts w:eastAsia="Times New Roman" w:cstheme="minorHAnsi"/>
                <w:bCs/>
              </w:rPr>
              <w:t>Uspostaviti mehanizam za pritužbe pre angažovanja projektnih radnika, a zatim ga održavati i primenjivati tokom čitave implementacije Projekta</w:t>
            </w:r>
            <w:r w:rsidR="004815BD" w:rsidRPr="00984C70">
              <w:rPr>
                <w:rFonts w:eastAsia="Times New Roman" w:cstheme="minorHAnsi"/>
                <w:bCs/>
              </w:rPr>
              <w:t>.</w:t>
            </w:r>
          </w:p>
        </w:tc>
        <w:tc>
          <w:tcPr>
            <w:tcW w:w="2160" w:type="dxa"/>
          </w:tcPr>
          <w:p w14:paraId="060DBB71" w14:textId="2E41D3AC" w:rsidR="004815BD" w:rsidRPr="00984C70" w:rsidRDefault="00FE0C37" w:rsidP="004815BD">
            <w:pPr>
              <w:keepLines/>
              <w:widowControl w:val="0"/>
              <w:rPr>
                <w:rFonts w:cstheme="minorHAnsi"/>
              </w:rPr>
            </w:pPr>
            <w:r w:rsidRPr="00984C70">
              <w:rPr>
                <w:rFonts w:cstheme="minorHAnsi"/>
              </w:rPr>
              <w:t>OITEG/PIU</w:t>
            </w:r>
          </w:p>
        </w:tc>
      </w:tr>
      <w:tr w:rsidR="004815BD" w:rsidRPr="00984C70" w14:paraId="5FD30732" w14:textId="77777777" w:rsidTr="32DC1B58">
        <w:trPr>
          <w:trHeight w:val="20"/>
        </w:trPr>
        <w:tc>
          <w:tcPr>
            <w:tcW w:w="14305" w:type="dxa"/>
            <w:gridSpan w:val="4"/>
            <w:shd w:val="clear" w:color="auto" w:fill="F4B083" w:themeFill="accent2" w:themeFillTint="99"/>
          </w:tcPr>
          <w:p w14:paraId="45E0E58C" w14:textId="64860172" w:rsidR="004815BD" w:rsidRPr="00984C70" w:rsidRDefault="004815BD" w:rsidP="00EC7CAF">
            <w:pPr>
              <w:keepLines/>
              <w:widowControl w:val="0"/>
              <w:jc w:val="both"/>
              <w:rPr>
                <w:rFonts w:cstheme="minorHAnsi"/>
              </w:rPr>
            </w:pPr>
            <w:r w:rsidRPr="00984C70">
              <w:rPr>
                <w:rFonts w:cstheme="minorHAnsi"/>
                <w:b/>
              </w:rPr>
              <w:t xml:space="preserve">ESS 3:  </w:t>
            </w:r>
            <w:r w:rsidR="001E0465" w:rsidRPr="001E0465">
              <w:rPr>
                <w:rFonts w:cstheme="minorHAnsi"/>
                <w:b/>
              </w:rPr>
              <w:t>EFIKASNOST RESURSA I SPREČAVANJE I UPRAVLJANJE ZAGAĐENJEM</w:t>
            </w:r>
          </w:p>
        </w:tc>
      </w:tr>
      <w:tr w:rsidR="004815BD" w:rsidRPr="00984C70" w14:paraId="7FD19093" w14:textId="77777777" w:rsidTr="00D731FD">
        <w:trPr>
          <w:trHeight w:val="20"/>
        </w:trPr>
        <w:tc>
          <w:tcPr>
            <w:tcW w:w="625" w:type="dxa"/>
          </w:tcPr>
          <w:p w14:paraId="36BB648D" w14:textId="60BC6C86" w:rsidR="004815BD" w:rsidRPr="00984C70" w:rsidRDefault="004815BD" w:rsidP="004815BD">
            <w:pPr>
              <w:keepLines/>
              <w:widowControl w:val="0"/>
              <w:jc w:val="center"/>
              <w:rPr>
                <w:rFonts w:cstheme="minorHAnsi"/>
              </w:rPr>
            </w:pPr>
            <w:r w:rsidRPr="00984C70">
              <w:rPr>
                <w:rFonts w:cstheme="minorHAnsi"/>
              </w:rPr>
              <w:t>3.</w:t>
            </w:r>
            <w:r w:rsidR="00EC7CAF" w:rsidRPr="00984C70">
              <w:rPr>
                <w:rFonts w:cstheme="minorHAnsi"/>
              </w:rPr>
              <w:t>1</w:t>
            </w:r>
          </w:p>
        </w:tc>
        <w:tc>
          <w:tcPr>
            <w:tcW w:w="8370" w:type="dxa"/>
          </w:tcPr>
          <w:p w14:paraId="6B9456D2" w14:textId="02A11501" w:rsidR="001E0465" w:rsidRPr="001E0465" w:rsidRDefault="001E0465" w:rsidP="001E0465">
            <w:pPr>
              <w:widowControl w:val="0"/>
              <w:jc w:val="both"/>
              <w:rPr>
                <w:rFonts w:cstheme="minorHAnsi"/>
                <w:b/>
                <w:bCs/>
                <w:color w:val="4472C4" w:themeColor="accent1"/>
                <w:lang w:val="en-GB"/>
              </w:rPr>
            </w:pPr>
            <w:r w:rsidRPr="001E0465">
              <w:rPr>
                <w:rFonts w:cstheme="minorHAnsi"/>
                <w:b/>
                <w:bCs/>
                <w:color w:val="4472C4" w:themeColor="accent1"/>
                <w:lang w:val="en-GB"/>
              </w:rPr>
              <w:t>EFIKASNOST RESURSA I SPREČAVANJE I UPRAVLJANJE ZAGAĐENJEM</w:t>
            </w:r>
          </w:p>
          <w:p w14:paraId="207D824B" w14:textId="60A9D1CA" w:rsidR="00733CAB" w:rsidRPr="001617F4" w:rsidRDefault="001E0465" w:rsidP="001617F4">
            <w:pPr>
              <w:keepLines/>
              <w:widowControl w:val="0"/>
              <w:jc w:val="both"/>
              <w:rPr>
                <w:rFonts w:cstheme="minorHAnsi"/>
                <w:lang w:val="en-GB"/>
              </w:rPr>
            </w:pPr>
            <w:r w:rsidRPr="001E0465">
              <w:rPr>
                <w:rFonts w:cstheme="minorHAnsi"/>
                <w:lang w:val="en-GB"/>
              </w:rPr>
              <w:t xml:space="preserve">Uključiti mere efikasnog korišćenja resursa, kao i mere za sprečavanje i upravljanje zagađenjem, u Operativni priručnik projekta (POM) u okviru </w:t>
            </w:r>
            <w:r>
              <w:rPr>
                <w:rFonts w:cstheme="minorHAnsi"/>
                <w:lang w:val="en-GB"/>
              </w:rPr>
              <w:t xml:space="preserve">gorenavedene </w:t>
            </w:r>
            <w:r w:rsidR="001617F4">
              <w:rPr>
                <w:rFonts w:cstheme="minorHAnsi"/>
                <w:lang w:val="en-GB"/>
              </w:rPr>
              <w:t>aktivnosti 1.1</w:t>
            </w:r>
          </w:p>
          <w:p w14:paraId="57FDCE9B" w14:textId="77777777" w:rsidR="00205E2A" w:rsidRPr="00984C70" w:rsidRDefault="00205E2A" w:rsidP="00EC7CAF">
            <w:pPr>
              <w:keepLines/>
              <w:widowControl w:val="0"/>
              <w:jc w:val="both"/>
              <w:rPr>
                <w:rFonts w:cstheme="minorHAnsi"/>
              </w:rPr>
            </w:pPr>
          </w:p>
          <w:p w14:paraId="251120F9" w14:textId="77777777" w:rsidR="00205E2A" w:rsidRPr="00984C70" w:rsidRDefault="00205E2A" w:rsidP="00EC7CAF">
            <w:pPr>
              <w:keepLines/>
              <w:widowControl w:val="0"/>
              <w:jc w:val="both"/>
              <w:rPr>
                <w:rFonts w:cstheme="minorHAnsi"/>
              </w:rPr>
            </w:pPr>
          </w:p>
          <w:p w14:paraId="70A75E95" w14:textId="39D4BB0C" w:rsidR="004815BD" w:rsidRPr="00984C70" w:rsidRDefault="001617F4" w:rsidP="00EC7CAF">
            <w:pPr>
              <w:keepLines/>
              <w:widowControl w:val="0"/>
              <w:jc w:val="both"/>
              <w:rPr>
                <w:rFonts w:cstheme="minorHAnsi"/>
              </w:rPr>
            </w:pPr>
            <w:r w:rsidRPr="001617F4">
              <w:rPr>
                <w:rFonts w:cstheme="minorHAnsi"/>
              </w:rPr>
              <w:t>Primenjivati mere efikasnog korišćenja resursa i sprečavanja i upravljanja zagađenjem, uključujući obezbeđivanje usklađenosti sa zahtevima energetske efikasnosti (EE) za hardverske komponente, kao i odredbe o upravljanju elektronskim otpadom (e-otpadom), u skladu sa ESS3 i važećim propisima, uključujući Smernice Grupe Svetske banke za zaštitu životne sredine, zdravlja i bezbednosti (EHS), na način usklađen sa ESS3 i prihvatljiv za Banku</w:t>
            </w:r>
            <w:r w:rsidR="00CD7CE6" w:rsidRPr="00984C70">
              <w:rPr>
                <w:rFonts w:cstheme="minorHAnsi"/>
              </w:rPr>
              <w:t>.</w:t>
            </w:r>
          </w:p>
        </w:tc>
        <w:tc>
          <w:tcPr>
            <w:tcW w:w="3150" w:type="dxa"/>
          </w:tcPr>
          <w:p w14:paraId="4A64AE42" w14:textId="77777777" w:rsidR="00D80121" w:rsidRPr="00984C70" w:rsidRDefault="00D80121" w:rsidP="00EC7CAF">
            <w:pPr>
              <w:keepLines/>
              <w:widowControl w:val="0"/>
              <w:jc w:val="both"/>
              <w:rPr>
                <w:rFonts w:cstheme="minorHAnsi"/>
              </w:rPr>
            </w:pPr>
          </w:p>
          <w:p w14:paraId="2EA5FFD7" w14:textId="77777777" w:rsidR="001617F4" w:rsidRPr="001617F4" w:rsidRDefault="001617F4" w:rsidP="001617F4">
            <w:pPr>
              <w:keepLines/>
              <w:widowControl w:val="0"/>
              <w:jc w:val="both"/>
              <w:rPr>
                <w:rFonts w:cstheme="minorHAnsi"/>
                <w:lang w:val="en-GB"/>
              </w:rPr>
            </w:pPr>
            <w:r w:rsidRPr="001617F4">
              <w:rPr>
                <w:rFonts w:cstheme="minorHAnsi"/>
                <w:lang w:val="en-GB"/>
              </w:rPr>
              <w:t>Isti rok kao za pripremu i implementaciju Operativnog priručnika projekta (POM).</w:t>
            </w:r>
          </w:p>
          <w:p w14:paraId="465A8BAB" w14:textId="77777777" w:rsidR="00663EE4" w:rsidRDefault="00663EE4" w:rsidP="001617F4">
            <w:pPr>
              <w:keepLines/>
              <w:widowControl w:val="0"/>
              <w:jc w:val="both"/>
              <w:rPr>
                <w:rFonts w:cstheme="minorHAnsi"/>
                <w:lang w:val="en-GB"/>
              </w:rPr>
            </w:pPr>
          </w:p>
          <w:p w14:paraId="3154B326" w14:textId="14C78C35" w:rsidR="001617F4" w:rsidRPr="001617F4" w:rsidRDefault="001617F4" w:rsidP="001617F4">
            <w:pPr>
              <w:keepLines/>
              <w:widowControl w:val="0"/>
              <w:jc w:val="both"/>
              <w:rPr>
                <w:rFonts w:cstheme="minorHAnsi"/>
                <w:lang w:val="en-GB"/>
              </w:rPr>
            </w:pPr>
            <w:r w:rsidRPr="001617F4">
              <w:rPr>
                <w:rFonts w:cstheme="minorHAnsi"/>
                <w:lang w:val="en-GB"/>
              </w:rPr>
              <w:t>Pre nabavke relevantnih hardverskih paketa koji se finansiraju iz Projekta, kao i tokom čitave implementacije Projekta.</w:t>
            </w:r>
          </w:p>
          <w:p w14:paraId="5FE47E60" w14:textId="0A4C5D5A" w:rsidR="004815BD" w:rsidRPr="00984C70" w:rsidDel="002D5209" w:rsidRDefault="004815BD" w:rsidP="00EC7CAF">
            <w:pPr>
              <w:keepLines/>
              <w:widowControl w:val="0"/>
              <w:jc w:val="both"/>
              <w:rPr>
                <w:rFonts w:cstheme="minorHAnsi"/>
              </w:rPr>
            </w:pPr>
          </w:p>
        </w:tc>
        <w:tc>
          <w:tcPr>
            <w:tcW w:w="2160" w:type="dxa"/>
          </w:tcPr>
          <w:p w14:paraId="5BD119A4" w14:textId="4A304626" w:rsidR="004815BD" w:rsidRPr="00984C70" w:rsidRDefault="00813A5C" w:rsidP="004815BD">
            <w:pPr>
              <w:keepLines/>
              <w:widowControl w:val="0"/>
              <w:rPr>
                <w:rFonts w:cstheme="minorHAnsi"/>
              </w:rPr>
            </w:pPr>
            <w:r w:rsidRPr="00984C70">
              <w:rPr>
                <w:rFonts w:cstheme="minorHAnsi"/>
              </w:rPr>
              <w:t>OITEG/PIU</w:t>
            </w:r>
          </w:p>
        </w:tc>
      </w:tr>
      <w:tr w:rsidR="004815BD" w:rsidRPr="00984C70" w14:paraId="2D6E1F4C" w14:textId="77777777" w:rsidTr="32DC1B58">
        <w:trPr>
          <w:trHeight w:val="20"/>
        </w:trPr>
        <w:tc>
          <w:tcPr>
            <w:tcW w:w="14305" w:type="dxa"/>
            <w:gridSpan w:val="4"/>
            <w:shd w:val="clear" w:color="auto" w:fill="F4B083" w:themeFill="accent2" w:themeFillTint="99"/>
          </w:tcPr>
          <w:p w14:paraId="25A45C1A" w14:textId="117E0BC1" w:rsidR="004815BD" w:rsidRPr="00984C70" w:rsidRDefault="004815BD" w:rsidP="00FE18F2">
            <w:pPr>
              <w:keepLines/>
              <w:widowControl w:val="0"/>
              <w:jc w:val="both"/>
              <w:rPr>
                <w:rFonts w:cstheme="minorHAnsi"/>
              </w:rPr>
            </w:pPr>
            <w:r w:rsidRPr="00984C70">
              <w:rPr>
                <w:rFonts w:cstheme="minorHAnsi"/>
                <w:b/>
              </w:rPr>
              <w:t xml:space="preserve">ESS 4:  </w:t>
            </w:r>
            <w:r w:rsidR="00FE18F2">
              <w:rPr>
                <w:rFonts w:cstheme="minorHAnsi"/>
                <w:b/>
              </w:rPr>
              <w:t>ZDRAVLJE I BEZBEDNOST ZAJEDNICE</w:t>
            </w:r>
            <w:r w:rsidRPr="00984C70">
              <w:rPr>
                <w:rFonts w:cstheme="minorHAnsi"/>
                <w:b/>
              </w:rPr>
              <w:t xml:space="preserve"> </w:t>
            </w:r>
          </w:p>
        </w:tc>
      </w:tr>
      <w:tr w:rsidR="004815BD" w:rsidRPr="00984C70" w14:paraId="4577D10D" w14:textId="77777777" w:rsidTr="00D731FD">
        <w:trPr>
          <w:trHeight w:val="20"/>
        </w:trPr>
        <w:tc>
          <w:tcPr>
            <w:tcW w:w="625" w:type="dxa"/>
          </w:tcPr>
          <w:p w14:paraId="05AA0538" w14:textId="7D5A1F03" w:rsidR="004815BD" w:rsidRPr="00984C70" w:rsidRDefault="004815BD" w:rsidP="004815BD">
            <w:pPr>
              <w:keepLines/>
              <w:widowControl w:val="0"/>
              <w:jc w:val="center"/>
              <w:rPr>
                <w:rFonts w:cstheme="minorHAnsi"/>
              </w:rPr>
            </w:pPr>
            <w:r w:rsidRPr="00984C70">
              <w:rPr>
                <w:rFonts w:cstheme="minorHAnsi"/>
              </w:rPr>
              <w:t>4.</w:t>
            </w:r>
            <w:r w:rsidR="00EC7CAF" w:rsidRPr="00984C70">
              <w:rPr>
                <w:rFonts w:cstheme="minorHAnsi"/>
              </w:rPr>
              <w:t>1</w:t>
            </w:r>
          </w:p>
        </w:tc>
        <w:tc>
          <w:tcPr>
            <w:tcW w:w="8370" w:type="dxa"/>
          </w:tcPr>
          <w:p w14:paraId="4E5679A5" w14:textId="53909FB3" w:rsidR="006A7243" w:rsidRPr="00984C70" w:rsidRDefault="00FE18F2" w:rsidP="00EC7CAF">
            <w:pPr>
              <w:keepLines/>
              <w:widowControl w:val="0"/>
              <w:jc w:val="both"/>
              <w:rPr>
                <w:rFonts w:cstheme="minorHAnsi"/>
                <w:b/>
                <w:color w:val="5B9BD5" w:themeColor="accent5"/>
              </w:rPr>
            </w:pPr>
            <w:r>
              <w:rPr>
                <w:rFonts w:cstheme="minorHAnsi"/>
                <w:b/>
                <w:color w:val="4472C4" w:themeColor="accent1"/>
              </w:rPr>
              <w:t>ZDRAVLJE I BEZBEDNOST ZAJEDNICE</w:t>
            </w:r>
          </w:p>
          <w:p w14:paraId="0D6EB842" w14:textId="77777777" w:rsidR="001E2126" w:rsidRPr="00984C70" w:rsidRDefault="001E2126" w:rsidP="00EC7CAF">
            <w:pPr>
              <w:jc w:val="both"/>
              <w:rPr>
                <w:rFonts w:cstheme="minorHAnsi"/>
                <w:color w:val="020817"/>
                <w:spacing w:val="4"/>
              </w:rPr>
            </w:pPr>
          </w:p>
          <w:p w14:paraId="5C3B949A" w14:textId="77777777" w:rsidR="00C55A2E" w:rsidRPr="00C55A2E" w:rsidRDefault="00C55A2E" w:rsidP="00C55A2E">
            <w:pPr>
              <w:keepLines/>
              <w:widowControl w:val="0"/>
              <w:rPr>
                <w:rFonts w:cstheme="minorHAnsi"/>
                <w:lang w:val="en-GB"/>
              </w:rPr>
            </w:pPr>
            <w:r w:rsidRPr="00C55A2E">
              <w:rPr>
                <w:rFonts w:cstheme="minorHAnsi"/>
                <w:lang w:val="en-GB"/>
              </w:rPr>
              <w:t>U Operativni priručnik projekta (POM), u okviru aktivnosti 1.1 iznad, uključiti mere za procenu, upravljanje, praćenje i izveštavanje o specifičnim rizicima i uticajima na zajednicu koji proizilaze iz projektnih aktivnosti koje uključuju veštačku inteligenciju (AI).</w:t>
            </w:r>
          </w:p>
          <w:p w14:paraId="3869E462" w14:textId="77777777" w:rsidR="00663EE4" w:rsidRDefault="00663EE4" w:rsidP="00C55A2E">
            <w:pPr>
              <w:keepLines/>
              <w:widowControl w:val="0"/>
              <w:rPr>
                <w:rFonts w:cstheme="minorHAnsi"/>
                <w:lang w:val="en-GB"/>
              </w:rPr>
            </w:pPr>
          </w:p>
          <w:p w14:paraId="74C0B1DB" w14:textId="52B992AF" w:rsidR="00C55A2E" w:rsidRPr="00C55A2E" w:rsidRDefault="00C55A2E" w:rsidP="00C55A2E">
            <w:pPr>
              <w:keepLines/>
              <w:widowControl w:val="0"/>
              <w:rPr>
                <w:rFonts w:cstheme="minorHAnsi"/>
                <w:lang w:val="en-GB"/>
              </w:rPr>
            </w:pPr>
            <w:r w:rsidRPr="00C55A2E">
              <w:rPr>
                <w:rFonts w:cstheme="minorHAnsi"/>
                <w:lang w:val="en-GB"/>
              </w:rPr>
              <w:t xml:space="preserve">Obezbediti da se AI sistemi i alati za automatizovano donošenje odluka koji se finansiraju u okviru Projekta procenjuju u pogledu </w:t>
            </w:r>
            <w:r w:rsidR="00663EE4">
              <w:rPr>
                <w:rFonts w:cstheme="minorHAnsi"/>
                <w:lang w:val="en-GB"/>
              </w:rPr>
              <w:t>društvenih</w:t>
            </w:r>
            <w:r w:rsidRPr="00C55A2E">
              <w:rPr>
                <w:rFonts w:cstheme="minorHAnsi"/>
                <w:lang w:val="en-GB"/>
              </w:rPr>
              <w:t xml:space="preserve"> rizika, uključujući rizike po zaštitu podataka, nediskriminaciju i pravičan pristup.</w:t>
            </w:r>
          </w:p>
          <w:p w14:paraId="567E05E4" w14:textId="77777777" w:rsidR="00DA7CF5" w:rsidRDefault="00DA7CF5" w:rsidP="00C55A2E">
            <w:pPr>
              <w:keepLines/>
              <w:widowControl w:val="0"/>
              <w:rPr>
                <w:rFonts w:cstheme="minorHAnsi"/>
                <w:lang w:val="en-GB"/>
              </w:rPr>
            </w:pPr>
          </w:p>
          <w:p w14:paraId="1F741D90" w14:textId="6DFB2316" w:rsidR="00C55A2E" w:rsidRPr="00C55A2E" w:rsidRDefault="00C55A2E" w:rsidP="00C55A2E">
            <w:pPr>
              <w:keepLines/>
              <w:widowControl w:val="0"/>
              <w:rPr>
                <w:rFonts w:cstheme="minorHAnsi"/>
                <w:lang w:val="en-GB"/>
              </w:rPr>
            </w:pPr>
            <w:r w:rsidRPr="00C55A2E">
              <w:rPr>
                <w:rFonts w:cstheme="minorHAnsi"/>
                <w:lang w:val="en-GB"/>
              </w:rPr>
              <w:t>Obezbediti da se AI sistemi i alati za automatizovano donošenje odluka razvijeni ili primenjeni u okviru Projekta projektuju i testiraju u skladu sa važećim zakonodavstvom — uključujući Zakon o zaštiti podataka o ličnosti Republike Srbije, kao i Etičke smernice za razvoj, implementaciju i upotrebu robusne i odgovorne veštačke inteligencije — i da uključuju mehanizme ljudskog nadzora kako bi se sprečile automatizovane odluke koje bi mogle negativno uticati na prava pojedinaca ili pristup uslugama.</w:t>
            </w:r>
          </w:p>
          <w:p w14:paraId="48C19731" w14:textId="32B665EE" w:rsidR="004815BD" w:rsidRPr="00C55A2E" w:rsidRDefault="00C55A2E" w:rsidP="00C55A2E">
            <w:pPr>
              <w:keepLines/>
              <w:widowControl w:val="0"/>
              <w:rPr>
                <w:rFonts w:cstheme="minorHAnsi"/>
                <w:lang w:val="en-GB"/>
              </w:rPr>
            </w:pPr>
            <w:r w:rsidRPr="00C55A2E">
              <w:rPr>
                <w:rFonts w:cstheme="minorHAnsi"/>
                <w:lang w:val="en-GB"/>
              </w:rPr>
              <w:lastRenderedPageBreak/>
              <w:t>Održavati pristupačne nedigitalne kanale usluga kako bi se obezbedio kontinuitet pristupa osnovnim javnim uslugama za starije osobe, osobe sa invaliditetom i lica sa ograničenom digitalnom pismenošću</w:t>
            </w:r>
            <w:r>
              <w:rPr>
                <w:rFonts w:cstheme="minorHAnsi"/>
                <w:lang w:val="en-GB"/>
              </w:rPr>
              <w:t>.</w:t>
            </w:r>
          </w:p>
        </w:tc>
        <w:tc>
          <w:tcPr>
            <w:tcW w:w="3150" w:type="dxa"/>
          </w:tcPr>
          <w:p w14:paraId="01AE75D8" w14:textId="77777777" w:rsidR="00EE64CA" w:rsidRPr="00984C70" w:rsidRDefault="00EE64CA" w:rsidP="00EC7CAF">
            <w:pPr>
              <w:keepLines/>
              <w:widowControl w:val="0"/>
              <w:jc w:val="both"/>
              <w:rPr>
                <w:rFonts w:cstheme="minorHAnsi"/>
              </w:rPr>
            </w:pPr>
          </w:p>
          <w:p w14:paraId="7F960076" w14:textId="77777777" w:rsidR="001E2126" w:rsidRPr="00984C70" w:rsidRDefault="001E2126" w:rsidP="00EC7CAF">
            <w:pPr>
              <w:keepLines/>
              <w:widowControl w:val="0"/>
              <w:jc w:val="both"/>
              <w:rPr>
                <w:rFonts w:cstheme="minorHAnsi"/>
              </w:rPr>
            </w:pPr>
          </w:p>
          <w:p w14:paraId="421ED9CF" w14:textId="77777777" w:rsidR="00C55A2E" w:rsidRPr="00C55A2E" w:rsidRDefault="00C55A2E" w:rsidP="00C55A2E">
            <w:pPr>
              <w:keepLines/>
              <w:widowControl w:val="0"/>
              <w:jc w:val="both"/>
              <w:rPr>
                <w:rFonts w:cstheme="minorHAnsi"/>
                <w:lang w:val="en-GB"/>
              </w:rPr>
            </w:pPr>
            <w:r w:rsidRPr="00C55A2E">
              <w:rPr>
                <w:rFonts w:cstheme="minorHAnsi"/>
                <w:lang w:val="en-GB"/>
              </w:rPr>
              <w:t>Isti rok kao za pripremu i implementaciju Operativnog priručnika projekta (POM).</w:t>
            </w:r>
          </w:p>
          <w:p w14:paraId="7B866FF7" w14:textId="77777777" w:rsidR="00A326A4" w:rsidRDefault="00A326A4" w:rsidP="00C55A2E">
            <w:pPr>
              <w:keepLines/>
              <w:widowControl w:val="0"/>
              <w:jc w:val="both"/>
              <w:rPr>
                <w:rFonts w:cstheme="minorHAnsi"/>
                <w:lang w:val="en-GB"/>
              </w:rPr>
            </w:pPr>
          </w:p>
          <w:p w14:paraId="3496AE45" w14:textId="264D38BD" w:rsidR="00C55A2E" w:rsidRPr="00C55A2E" w:rsidRDefault="00C55A2E" w:rsidP="00C55A2E">
            <w:pPr>
              <w:keepLines/>
              <w:widowControl w:val="0"/>
              <w:jc w:val="both"/>
              <w:rPr>
                <w:rFonts w:cstheme="minorHAnsi"/>
                <w:lang w:val="en-GB"/>
              </w:rPr>
            </w:pPr>
            <w:r w:rsidRPr="00C55A2E">
              <w:rPr>
                <w:rFonts w:cstheme="minorHAnsi"/>
                <w:lang w:val="en-GB"/>
              </w:rPr>
              <w:t>Pre implementacije svakog sistema i tokom čitave implementacije.</w:t>
            </w:r>
          </w:p>
          <w:p w14:paraId="12FC80F7" w14:textId="77777777" w:rsidR="00A326A4" w:rsidRDefault="00A326A4" w:rsidP="00C55A2E">
            <w:pPr>
              <w:keepLines/>
              <w:widowControl w:val="0"/>
              <w:jc w:val="both"/>
              <w:rPr>
                <w:rFonts w:cstheme="minorHAnsi"/>
                <w:lang w:val="en-GB"/>
              </w:rPr>
            </w:pPr>
          </w:p>
          <w:p w14:paraId="13A85F44" w14:textId="32BCE07A" w:rsidR="00C55A2E" w:rsidRPr="00C55A2E" w:rsidRDefault="00C55A2E" w:rsidP="00C55A2E">
            <w:pPr>
              <w:keepLines/>
              <w:widowControl w:val="0"/>
              <w:jc w:val="both"/>
              <w:rPr>
                <w:rFonts w:cstheme="minorHAnsi"/>
                <w:lang w:val="en-GB"/>
              </w:rPr>
            </w:pPr>
            <w:r w:rsidRPr="00C55A2E">
              <w:rPr>
                <w:rFonts w:cstheme="minorHAnsi"/>
                <w:lang w:val="en-GB"/>
              </w:rPr>
              <w:t>Pre implementacije svakog sistema i tokom čitave implementacije.</w:t>
            </w:r>
          </w:p>
          <w:p w14:paraId="296CFB8A" w14:textId="77777777" w:rsidR="00A326A4" w:rsidRDefault="00A326A4" w:rsidP="00C55A2E">
            <w:pPr>
              <w:keepLines/>
              <w:widowControl w:val="0"/>
              <w:jc w:val="both"/>
              <w:rPr>
                <w:rFonts w:cstheme="minorHAnsi"/>
                <w:lang w:val="en-GB"/>
              </w:rPr>
            </w:pPr>
          </w:p>
          <w:p w14:paraId="22E29F3E" w14:textId="77777777" w:rsidR="00DA7CF5" w:rsidRDefault="00DA7CF5" w:rsidP="00C55A2E">
            <w:pPr>
              <w:keepLines/>
              <w:widowControl w:val="0"/>
              <w:jc w:val="both"/>
              <w:rPr>
                <w:rFonts w:cstheme="minorHAnsi"/>
                <w:lang w:val="en-GB"/>
              </w:rPr>
            </w:pPr>
          </w:p>
          <w:p w14:paraId="3140EA06" w14:textId="77777777" w:rsidR="00DA7CF5" w:rsidRDefault="00DA7CF5" w:rsidP="00C55A2E">
            <w:pPr>
              <w:keepLines/>
              <w:widowControl w:val="0"/>
              <w:jc w:val="both"/>
              <w:rPr>
                <w:rFonts w:cstheme="minorHAnsi"/>
                <w:lang w:val="en-GB"/>
              </w:rPr>
            </w:pPr>
          </w:p>
          <w:p w14:paraId="3D5B7125" w14:textId="3BB887DC" w:rsidR="00C55A2E" w:rsidRPr="00C55A2E" w:rsidRDefault="00C55A2E" w:rsidP="00C55A2E">
            <w:pPr>
              <w:keepLines/>
              <w:widowControl w:val="0"/>
              <w:jc w:val="both"/>
              <w:rPr>
                <w:rFonts w:cstheme="minorHAnsi"/>
                <w:lang w:val="en-GB"/>
              </w:rPr>
            </w:pPr>
            <w:r w:rsidRPr="00C55A2E">
              <w:rPr>
                <w:rFonts w:cstheme="minorHAnsi"/>
                <w:lang w:val="en-GB"/>
              </w:rPr>
              <w:lastRenderedPageBreak/>
              <w:t>Tokom čitave implementacije Projekta.</w:t>
            </w:r>
          </w:p>
          <w:p w14:paraId="45D20320" w14:textId="34692E38" w:rsidR="00C90C88" w:rsidRPr="00984C70" w:rsidRDefault="00C90C88" w:rsidP="00D731FD">
            <w:pPr>
              <w:keepLines/>
              <w:widowControl w:val="0"/>
              <w:rPr>
                <w:rFonts w:cstheme="minorHAnsi"/>
              </w:rPr>
            </w:pPr>
          </w:p>
        </w:tc>
        <w:tc>
          <w:tcPr>
            <w:tcW w:w="2160" w:type="dxa"/>
          </w:tcPr>
          <w:p w14:paraId="24CEB1AD" w14:textId="77777777" w:rsidR="004815BD" w:rsidRPr="00984C70" w:rsidRDefault="004815BD" w:rsidP="004815BD">
            <w:pPr>
              <w:keepLines/>
              <w:widowControl w:val="0"/>
              <w:rPr>
                <w:rFonts w:cstheme="minorHAnsi"/>
              </w:rPr>
            </w:pPr>
          </w:p>
          <w:p w14:paraId="28830587" w14:textId="6E0A3DB7" w:rsidR="004815BD" w:rsidRPr="00984C70" w:rsidRDefault="00663B6B" w:rsidP="004815BD">
            <w:pPr>
              <w:keepLines/>
              <w:widowControl w:val="0"/>
              <w:rPr>
                <w:rFonts w:cstheme="minorHAnsi"/>
              </w:rPr>
            </w:pPr>
            <w:r w:rsidRPr="00984C70">
              <w:rPr>
                <w:rFonts w:cstheme="minorHAnsi"/>
              </w:rPr>
              <w:t>OITEG/PIU</w:t>
            </w:r>
          </w:p>
        </w:tc>
      </w:tr>
      <w:tr w:rsidR="004815BD" w:rsidRPr="00984C70" w14:paraId="7DE54B4D" w14:textId="77777777" w:rsidTr="32DC1B58">
        <w:trPr>
          <w:trHeight w:val="20"/>
        </w:trPr>
        <w:tc>
          <w:tcPr>
            <w:tcW w:w="14305" w:type="dxa"/>
            <w:gridSpan w:val="4"/>
            <w:shd w:val="clear" w:color="auto" w:fill="F4B083" w:themeFill="accent2" w:themeFillTint="99"/>
          </w:tcPr>
          <w:p w14:paraId="7B8A261E" w14:textId="23C4C374" w:rsidR="004815BD" w:rsidRPr="00984C70" w:rsidRDefault="00815115" w:rsidP="004815BD">
            <w:pPr>
              <w:keepLines/>
              <w:widowControl w:val="0"/>
              <w:rPr>
                <w:rFonts w:cstheme="minorHAnsi"/>
              </w:rPr>
            </w:pPr>
            <w:r>
              <w:rPr>
                <w:rFonts w:cstheme="minorHAnsi"/>
                <w:b/>
              </w:rPr>
              <w:lastRenderedPageBreak/>
              <w:t xml:space="preserve">ESS 10: </w:t>
            </w:r>
            <w:r w:rsidRPr="00815115">
              <w:rPr>
                <w:rFonts w:cstheme="minorHAnsi"/>
                <w:b/>
              </w:rPr>
              <w:t>UKLJUČIVANJE ZAINTERESOVANIH STRANA I OBJAVLJIVANJE INFORMACIJA</w:t>
            </w:r>
          </w:p>
        </w:tc>
      </w:tr>
      <w:tr w:rsidR="004815BD" w:rsidRPr="00984C70" w14:paraId="05C713B6" w14:textId="77777777" w:rsidTr="00D731FD">
        <w:trPr>
          <w:trHeight w:val="20"/>
        </w:trPr>
        <w:tc>
          <w:tcPr>
            <w:tcW w:w="625" w:type="dxa"/>
          </w:tcPr>
          <w:p w14:paraId="6086B34B" w14:textId="77777777" w:rsidR="004815BD" w:rsidRPr="00984C70" w:rsidRDefault="004815BD" w:rsidP="004815BD">
            <w:pPr>
              <w:keepLines/>
              <w:widowControl w:val="0"/>
              <w:jc w:val="center"/>
              <w:rPr>
                <w:rFonts w:cstheme="minorHAnsi"/>
              </w:rPr>
            </w:pPr>
            <w:r w:rsidRPr="00984C70">
              <w:rPr>
                <w:rFonts w:cstheme="minorHAnsi"/>
              </w:rPr>
              <w:t>10.1</w:t>
            </w:r>
          </w:p>
        </w:tc>
        <w:tc>
          <w:tcPr>
            <w:tcW w:w="8370" w:type="dxa"/>
          </w:tcPr>
          <w:p w14:paraId="2A993ADC" w14:textId="5AE209A8" w:rsidR="004815BD" w:rsidRPr="00984C70" w:rsidRDefault="004815BD" w:rsidP="00EC7CAF">
            <w:pPr>
              <w:jc w:val="both"/>
              <w:rPr>
                <w:rFonts w:cstheme="minorHAnsi"/>
                <w:b/>
                <w:color w:val="4472C4" w:themeColor="accent1"/>
              </w:rPr>
            </w:pPr>
            <w:r w:rsidRPr="00984C70">
              <w:rPr>
                <w:rFonts w:cstheme="minorHAnsi"/>
                <w:b/>
                <w:color w:val="4472C4" w:themeColor="accent1"/>
              </w:rPr>
              <w:t>PLAN</w:t>
            </w:r>
            <w:r w:rsidR="00815115">
              <w:rPr>
                <w:rFonts w:cstheme="minorHAnsi"/>
                <w:b/>
                <w:color w:val="4472C4" w:themeColor="accent1"/>
              </w:rPr>
              <w:t xml:space="preserve"> UKLJUČIVANJA ZAINTERESOVANIH STRANA</w:t>
            </w:r>
            <w:r w:rsidRPr="00984C70">
              <w:rPr>
                <w:rFonts w:cstheme="minorHAnsi"/>
                <w:b/>
                <w:color w:val="4472C4" w:themeColor="accent1"/>
              </w:rPr>
              <w:t xml:space="preserve"> </w:t>
            </w:r>
          </w:p>
          <w:p w14:paraId="2161A0BC" w14:textId="77777777" w:rsidR="00113C41" w:rsidRPr="00984C70" w:rsidRDefault="00113C41" w:rsidP="00EC7CAF">
            <w:pPr>
              <w:jc w:val="both"/>
              <w:rPr>
                <w:rFonts w:cstheme="minorHAnsi"/>
                <w:b/>
                <w:color w:val="4472C4" w:themeColor="accent1"/>
              </w:rPr>
            </w:pPr>
          </w:p>
          <w:p w14:paraId="7DF5A4E9" w14:textId="48207F1A" w:rsidR="001A7922" w:rsidRPr="00984C70" w:rsidRDefault="00113C41" w:rsidP="001A7922">
            <w:pPr>
              <w:rPr>
                <w:rFonts w:cstheme="minorHAnsi"/>
              </w:rPr>
            </w:pPr>
            <w:r w:rsidRPr="00984C70">
              <w:rPr>
                <w:rFonts w:cstheme="minorHAnsi"/>
                <w:bCs/>
              </w:rPr>
              <w:t>1</w:t>
            </w:r>
            <w:r w:rsidR="003C3CC5">
              <w:rPr>
                <w:rFonts w:cstheme="minorHAnsi"/>
              </w:rPr>
              <w:t xml:space="preserve"> </w:t>
            </w:r>
            <w:r w:rsidR="003C3CC5" w:rsidRPr="003C3CC5">
              <w:rPr>
                <w:rFonts w:cstheme="minorHAnsi"/>
              </w:rPr>
              <w:t xml:space="preserve">Ažurirati i primenjivati Plan uključivanja zainteresovanih strana (SEP) za Projekat, u skladu sa ESS10, koji će između ostalog uključivati mere </w:t>
            </w:r>
            <w:r w:rsidR="004A74C5">
              <w:rPr>
                <w:rFonts w:cstheme="minorHAnsi"/>
              </w:rPr>
              <w:t>koje će omogućiti</w:t>
            </w:r>
            <w:r w:rsidR="003C3CC5" w:rsidRPr="003C3CC5">
              <w:rPr>
                <w:rFonts w:cstheme="minorHAnsi"/>
              </w:rPr>
              <w:t xml:space="preserve"> da zainteresovane strane dobijaju blagovremene, relevantne, razumljive i pristupačne informacije, kao i da se sa njima sprovode konsultacije na kulturološki prikladan način, bez manipulacije, ometanja, prinude, diskriminacije i zastrašivanja.</w:t>
            </w:r>
          </w:p>
          <w:p w14:paraId="0EFDE4CF" w14:textId="77777777" w:rsidR="00113C41" w:rsidRPr="00984C70" w:rsidRDefault="00113C41" w:rsidP="00EC7CAF">
            <w:pPr>
              <w:jc w:val="both"/>
              <w:rPr>
                <w:rFonts w:cstheme="minorHAnsi"/>
                <w:bCs/>
              </w:rPr>
            </w:pPr>
          </w:p>
          <w:p w14:paraId="7CF8B1F0" w14:textId="41C0172E" w:rsidR="003C3CC5" w:rsidRPr="003C3CC5" w:rsidRDefault="00113C41" w:rsidP="003C3CC5">
            <w:pPr>
              <w:jc w:val="both"/>
              <w:rPr>
                <w:rFonts w:cstheme="minorHAnsi"/>
                <w:bCs/>
                <w:lang w:val="en-GB"/>
              </w:rPr>
            </w:pPr>
            <w:r w:rsidRPr="00984C70">
              <w:rPr>
                <w:rFonts w:cstheme="minorHAnsi"/>
                <w:bCs/>
              </w:rPr>
              <w:t>2.</w:t>
            </w:r>
            <w:r w:rsidR="003C3CC5">
              <w:rPr>
                <w:rFonts w:cstheme="minorHAnsi"/>
                <w:bCs/>
              </w:rPr>
              <w:t xml:space="preserve"> </w:t>
            </w:r>
            <w:r w:rsidR="003C3CC5" w:rsidRPr="003C3CC5">
              <w:rPr>
                <w:rFonts w:cstheme="minorHAnsi"/>
                <w:bCs/>
                <w:lang w:val="en-GB"/>
              </w:rPr>
              <w:t>Obezbediti da sva lica koja koriste usluge zasnovane na veštačkoj inteligenciji (AI) razvijene ili primenjene u okviru Projekta budu na odgovarajući način informisana, na jasnom i pristupačnom jeziku, kada je u obradi njihovih zahteva uključeno automatizovano donošenje odluka, kao i o mogućim efektima takvog odlučivanja na njihov pristup uslugama.</w:t>
            </w:r>
          </w:p>
          <w:p w14:paraId="1D4C402A" w14:textId="4A4EDA60" w:rsidR="004815BD" w:rsidRPr="00447229" w:rsidRDefault="004A74C5" w:rsidP="00EC7CAF">
            <w:pPr>
              <w:jc w:val="both"/>
              <w:rPr>
                <w:rFonts w:cstheme="minorHAnsi"/>
                <w:bCs/>
                <w:lang w:val="en-GB"/>
              </w:rPr>
            </w:pPr>
            <w:r>
              <w:rPr>
                <w:rFonts w:cstheme="minorHAnsi"/>
                <w:bCs/>
                <w:lang w:val="en-GB"/>
              </w:rPr>
              <w:t>Takođe, sarađivati</w:t>
            </w:r>
            <w:r w:rsidR="003C3CC5" w:rsidRPr="003C3CC5">
              <w:rPr>
                <w:rFonts w:cstheme="minorHAnsi"/>
                <w:bCs/>
                <w:lang w:val="en-GB"/>
              </w:rPr>
              <w:t>, na način prihvatljiv za Banku, sa relevantnim institucijama i zainteresovanim stranama u vezi sa etičkim dizajnom, primenom i nadzorom AI sistema finansiranih kroz Projekat, uključujući mere za sprečavanje diskriminacije, obezbeđivanje odgovornosti i zaštitu ličnih podataka</w:t>
            </w:r>
            <w:r w:rsidR="00447229">
              <w:rPr>
                <w:rFonts w:cstheme="minorHAnsi"/>
                <w:bCs/>
                <w:lang w:val="en-GB"/>
              </w:rPr>
              <w:t>.</w:t>
            </w:r>
          </w:p>
          <w:p w14:paraId="11464FE5" w14:textId="4E0906F9" w:rsidR="004815BD" w:rsidRPr="00984C70" w:rsidRDefault="004815BD" w:rsidP="00EC7CAF">
            <w:pPr>
              <w:jc w:val="both"/>
              <w:rPr>
                <w:rFonts w:cstheme="minorHAnsi"/>
              </w:rPr>
            </w:pPr>
          </w:p>
        </w:tc>
        <w:tc>
          <w:tcPr>
            <w:tcW w:w="3150" w:type="dxa"/>
          </w:tcPr>
          <w:p w14:paraId="0BF89287" w14:textId="77777777" w:rsidR="004815BD" w:rsidRPr="00984C70" w:rsidRDefault="004815BD" w:rsidP="00EC7CAF">
            <w:pPr>
              <w:keepLines/>
              <w:widowControl w:val="0"/>
              <w:jc w:val="both"/>
              <w:rPr>
                <w:rFonts w:cstheme="minorHAnsi"/>
              </w:rPr>
            </w:pPr>
          </w:p>
          <w:p w14:paraId="334B61E0" w14:textId="77777777" w:rsidR="003C77DC" w:rsidRPr="00984C70" w:rsidRDefault="003C77DC" w:rsidP="00EC7CAF">
            <w:pPr>
              <w:keepLines/>
              <w:widowControl w:val="0"/>
              <w:jc w:val="both"/>
              <w:rPr>
                <w:rFonts w:cstheme="minorHAnsi"/>
              </w:rPr>
            </w:pPr>
          </w:p>
          <w:p w14:paraId="286F90DF" w14:textId="0355B50F" w:rsidR="003C77DC" w:rsidRPr="00984C70" w:rsidRDefault="00882FA5" w:rsidP="00EC7CAF">
            <w:pPr>
              <w:keepLines/>
              <w:widowControl w:val="0"/>
              <w:jc w:val="both"/>
              <w:rPr>
                <w:rFonts w:cstheme="minorHAnsi"/>
              </w:rPr>
            </w:pPr>
            <w:r>
              <w:rPr>
                <w:rFonts w:cstheme="minorHAnsi"/>
              </w:rPr>
              <w:t>1.</w:t>
            </w:r>
            <w:r w:rsidR="003C3CC5" w:rsidRPr="003C3CC5">
              <w:rPr>
                <w:rFonts w:cstheme="minorHAnsi"/>
              </w:rPr>
              <w:t xml:space="preserve">Nacrt SEP-a pripremiti i javno </w:t>
            </w:r>
            <w:r w:rsidR="004A74C5">
              <w:rPr>
                <w:rFonts w:cstheme="minorHAnsi"/>
              </w:rPr>
              <w:t>objaviti pre procene</w:t>
            </w:r>
            <w:r w:rsidR="003C3CC5" w:rsidRPr="003C3CC5">
              <w:rPr>
                <w:rFonts w:cstheme="minorHAnsi"/>
              </w:rPr>
              <w:t>, ažurirati pre Datuma stupanja na snagu, i primenjivati tokom čitave implementacije Projekta</w:t>
            </w:r>
          </w:p>
          <w:p w14:paraId="7AF49185" w14:textId="77777777" w:rsidR="00882FA5" w:rsidRDefault="00882FA5" w:rsidP="00EC7CAF">
            <w:pPr>
              <w:keepLines/>
              <w:widowControl w:val="0"/>
              <w:jc w:val="both"/>
              <w:rPr>
                <w:rFonts w:cstheme="minorHAnsi"/>
              </w:rPr>
            </w:pPr>
          </w:p>
          <w:p w14:paraId="5173C65A" w14:textId="6F11A24B" w:rsidR="003C77DC" w:rsidRPr="00984C70" w:rsidRDefault="00882FA5" w:rsidP="00EC7CAF">
            <w:pPr>
              <w:keepLines/>
              <w:widowControl w:val="0"/>
              <w:jc w:val="both"/>
              <w:rPr>
                <w:rFonts w:cstheme="minorHAnsi"/>
              </w:rPr>
            </w:pPr>
            <w:r>
              <w:rPr>
                <w:rFonts w:cstheme="minorHAnsi"/>
              </w:rPr>
              <w:t>2.</w:t>
            </w:r>
            <w:r w:rsidR="003C3CC5">
              <w:rPr>
                <w:rFonts w:cstheme="minorHAnsi"/>
              </w:rPr>
              <w:t xml:space="preserve"> </w:t>
            </w:r>
            <w:r w:rsidR="003C3CC5" w:rsidRPr="003C3CC5">
              <w:rPr>
                <w:rFonts w:cstheme="minorHAnsi"/>
              </w:rPr>
              <w:t>Pre implementacije svake usluge zasnovane na veštačkoj inteligenciji i tokom čitave implementacije Projekta</w:t>
            </w:r>
            <w:r w:rsidR="003C77DC" w:rsidRPr="00984C70">
              <w:rPr>
                <w:rFonts w:cstheme="minorHAnsi"/>
              </w:rPr>
              <w:t>.</w:t>
            </w:r>
          </w:p>
        </w:tc>
        <w:tc>
          <w:tcPr>
            <w:tcW w:w="2160" w:type="dxa"/>
          </w:tcPr>
          <w:p w14:paraId="3B40E638" w14:textId="77777777" w:rsidR="00EF1ED5" w:rsidRPr="00984C70" w:rsidRDefault="00EF1ED5" w:rsidP="004815BD">
            <w:pPr>
              <w:keepLines/>
              <w:widowControl w:val="0"/>
              <w:rPr>
                <w:rFonts w:cstheme="minorHAnsi"/>
              </w:rPr>
            </w:pPr>
          </w:p>
          <w:p w14:paraId="23C1CD3D" w14:textId="77777777" w:rsidR="00EF1ED5" w:rsidRPr="00984C70" w:rsidRDefault="00EF1ED5" w:rsidP="004815BD">
            <w:pPr>
              <w:keepLines/>
              <w:widowControl w:val="0"/>
              <w:rPr>
                <w:rFonts w:cstheme="minorHAnsi"/>
              </w:rPr>
            </w:pPr>
          </w:p>
          <w:p w14:paraId="618D5371" w14:textId="53B28C6B" w:rsidR="004815BD" w:rsidRPr="00984C70" w:rsidRDefault="00EF1ED5" w:rsidP="004815BD">
            <w:pPr>
              <w:keepLines/>
              <w:widowControl w:val="0"/>
              <w:rPr>
                <w:rFonts w:cstheme="minorHAnsi"/>
              </w:rPr>
            </w:pPr>
            <w:r w:rsidRPr="00984C70">
              <w:rPr>
                <w:rFonts w:cstheme="minorHAnsi"/>
              </w:rPr>
              <w:t>OITEG/</w:t>
            </w:r>
            <w:r w:rsidR="00113C41" w:rsidRPr="00984C70">
              <w:rPr>
                <w:rFonts w:cstheme="minorHAnsi"/>
              </w:rPr>
              <w:t>PIU</w:t>
            </w:r>
          </w:p>
        </w:tc>
      </w:tr>
      <w:tr w:rsidR="008B00F9" w:rsidRPr="00984C70" w14:paraId="17784A21" w14:textId="77777777" w:rsidTr="00D731FD">
        <w:trPr>
          <w:trHeight w:val="20"/>
        </w:trPr>
        <w:tc>
          <w:tcPr>
            <w:tcW w:w="625" w:type="dxa"/>
          </w:tcPr>
          <w:p w14:paraId="414BD1AF" w14:textId="77777777" w:rsidR="008B00F9" w:rsidRPr="00984C70" w:rsidRDefault="008B00F9" w:rsidP="008B00F9">
            <w:pPr>
              <w:keepLines/>
              <w:widowControl w:val="0"/>
              <w:jc w:val="center"/>
              <w:rPr>
                <w:rFonts w:cstheme="minorHAnsi"/>
              </w:rPr>
            </w:pPr>
            <w:r w:rsidRPr="00984C70">
              <w:rPr>
                <w:rFonts w:cstheme="minorHAnsi"/>
              </w:rPr>
              <w:t>10.2</w:t>
            </w:r>
          </w:p>
        </w:tc>
        <w:tc>
          <w:tcPr>
            <w:tcW w:w="8370" w:type="dxa"/>
          </w:tcPr>
          <w:p w14:paraId="381E1734" w14:textId="09E7BA32" w:rsidR="005F022D" w:rsidRPr="00984C70" w:rsidRDefault="00980AC9" w:rsidP="005F022D">
            <w:pPr>
              <w:keepLines/>
              <w:widowControl w:val="0"/>
              <w:jc w:val="both"/>
              <w:rPr>
                <w:rFonts w:cstheme="minorHAnsi"/>
                <w:b/>
                <w:color w:val="4472C4" w:themeColor="accent1"/>
              </w:rPr>
            </w:pPr>
            <w:r w:rsidRPr="00980AC9">
              <w:rPr>
                <w:rFonts w:cstheme="minorHAnsi"/>
                <w:b/>
                <w:color w:val="4472C4" w:themeColor="accent1"/>
              </w:rPr>
              <w:t>PROJEKTNI MEHANIZAM ZA PRITUŽBE</w:t>
            </w:r>
          </w:p>
          <w:p w14:paraId="72B52DEE" w14:textId="77777777" w:rsidR="005F022D" w:rsidRPr="00984C70" w:rsidRDefault="005F022D" w:rsidP="005F022D">
            <w:pPr>
              <w:keepLines/>
              <w:widowControl w:val="0"/>
              <w:jc w:val="both"/>
              <w:rPr>
                <w:rFonts w:cstheme="minorHAnsi"/>
                <w:b/>
                <w:color w:val="4472C4" w:themeColor="accent1"/>
              </w:rPr>
            </w:pPr>
          </w:p>
          <w:p w14:paraId="1E169231" w14:textId="2A122FC9" w:rsidR="00980AC9" w:rsidRDefault="00980AC9" w:rsidP="00980AC9">
            <w:pPr>
              <w:keepLines/>
              <w:widowControl w:val="0"/>
              <w:jc w:val="both"/>
              <w:rPr>
                <w:rFonts w:cstheme="minorHAnsi"/>
                <w:color w:val="09090B"/>
                <w:spacing w:val="4"/>
                <w:lang w:val="en-GB"/>
              </w:rPr>
            </w:pPr>
            <w:r w:rsidRPr="00980AC9">
              <w:rPr>
                <w:rFonts w:cstheme="minorHAnsi"/>
                <w:color w:val="09090B"/>
                <w:spacing w:val="4"/>
                <w:lang w:val="en-GB"/>
              </w:rPr>
              <w:t xml:space="preserve">Uspostaviti, javno promovisati, održavati i primenjivati pristupačan mehanizam za pritužbe (GM) za prijem i rešavanje </w:t>
            </w:r>
            <w:r w:rsidR="004A74C5">
              <w:rPr>
                <w:rFonts w:cstheme="minorHAnsi"/>
                <w:color w:val="09090B"/>
                <w:spacing w:val="4"/>
                <w:lang w:val="en-GB"/>
              </w:rPr>
              <w:t>problema</w:t>
            </w:r>
            <w:r w:rsidRPr="00980AC9">
              <w:rPr>
                <w:rFonts w:cstheme="minorHAnsi"/>
                <w:color w:val="09090B"/>
                <w:spacing w:val="4"/>
                <w:lang w:val="en-GB"/>
              </w:rPr>
              <w:t xml:space="preserve"> i pritužbi u vezi sa Projektom — na blagovremen, efikasan i transparentan način, koji je kulturološki primeren i lako dostupan svim licima pogođenim Projektom, bez troškova za podnosioca pritužbe i bez odmazde, uključujući i anonimne pritužbe, u skladu sa ESS10.</w:t>
            </w:r>
            <w:r>
              <w:rPr>
                <w:rFonts w:cstheme="minorHAnsi"/>
                <w:color w:val="09090B"/>
                <w:spacing w:val="4"/>
                <w:lang w:val="en-GB"/>
              </w:rPr>
              <w:t xml:space="preserve"> </w:t>
            </w:r>
          </w:p>
          <w:p w14:paraId="28A548F0" w14:textId="7AAEC709" w:rsidR="00980AC9" w:rsidRPr="00980AC9" w:rsidRDefault="00980AC9" w:rsidP="00980AC9">
            <w:pPr>
              <w:keepLines/>
              <w:widowControl w:val="0"/>
              <w:jc w:val="both"/>
              <w:rPr>
                <w:rFonts w:cstheme="minorHAnsi"/>
                <w:color w:val="09090B"/>
                <w:spacing w:val="4"/>
                <w:lang w:val="en-GB"/>
              </w:rPr>
            </w:pPr>
            <w:r w:rsidRPr="00980AC9">
              <w:rPr>
                <w:rFonts w:cstheme="minorHAnsi"/>
                <w:color w:val="09090B"/>
                <w:spacing w:val="4"/>
                <w:lang w:val="en-GB"/>
              </w:rPr>
              <w:lastRenderedPageBreak/>
              <w:t>Mehanizam za pritužbe treba da uključuje:</w:t>
            </w:r>
            <w:r w:rsidRPr="00980AC9">
              <w:rPr>
                <w:rFonts w:cstheme="minorHAnsi"/>
                <w:color w:val="09090B"/>
                <w:spacing w:val="4"/>
                <w:lang w:val="en-GB"/>
              </w:rPr>
              <w:br/>
              <w:t>(i) posebne kanale za prijem, evidentiranje i rešavanje pritužbi u vezi sa seksualnom eksploatacijom i zlostavljanjem (SEA) i seksualnim uznemiravanjem (SH), uključujući upućivanje žrtava relevantnim pružaocima usluga u oblasti rodno zasnovanog nasilja, na bezbedan, poverljiv i pristup usmeren ka žrtvi;</w:t>
            </w:r>
            <w:r w:rsidRPr="00980AC9">
              <w:rPr>
                <w:rFonts w:cstheme="minorHAnsi"/>
                <w:color w:val="09090B"/>
                <w:spacing w:val="4"/>
                <w:lang w:val="en-GB"/>
              </w:rPr>
              <w:br/>
              <w:t>(ii) pristupačne kanale za pogođena lica za prijavu grešaka, pristrasnosti ili nepravičnih ishoda koji proizilaze iz usluga zasnovanih na veštačkoj inteligenciji razvijenih ili primenjenih u okviru Projekta, uz jasne rokove za potvrdu prijema i rešavanje pritužbi.</w:t>
            </w:r>
          </w:p>
          <w:p w14:paraId="39F33883" w14:textId="6C20235E" w:rsidR="008B00F9" w:rsidRPr="00984C70" w:rsidRDefault="008B00F9" w:rsidP="00EC7CAF">
            <w:pPr>
              <w:keepLines/>
              <w:widowControl w:val="0"/>
              <w:jc w:val="both"/>
              <w:rPr>
                <w:rFonts w:cstheme="minorHAnsi"/>
              </w:rPr>
            </w:pPr>
          </w:p>
          <w:p w14:paraId="6D956661" w14:textId="77777777" w:rsidR="008B00F9" w:rsidRPr="00984C70" w:rsidRDefault="008B00F9" w:rsidP="00EC7CAF">
            <w:pPr>
              <w:keepLines/>
              <w:widowControl w:val="0"/>
              <w:jc w:val="both"/>
              <w:rPr>
                <w:rFonts w:cstheme="minorHAnsi"/>
                <w:b/>
                <w:color w:val="4472C4" w:themeColor="accent1"/>
              </w:rPr>
            </w:pPr>
          </w:p>
        </w:tc>
        <w:tc>
          <w:tcPr>
            <w:tcW w:w="3150" w:type="dxa"/>
          </w:tcPr>
          <w:p w14:paraId="17700634" w14:textId="77777777" w:rsidR="005F022D" w:rsidRPr="00984C70" w:rsidRDefault="005F022D" w:rsidP="00EC7CAF">
            <w:pPr>
              <w:keepLines/>
              <w:widowControl w:val="0"/>
              <w:jc w:val="both"/>
              <w:rPr>
                <w:rFonts w:cstheme="minorHAnsi"/>
              </w:rPr>
            </w:pPr>
          </w:p>
          <w:p w14:paraId="10980FDA" w14:textId="77777777" w:rsidR="005F022D" w:rsidRPr="00984C70" w:rsidRDefault="005F022D" w:rsidP="00EC7CAF">
            <w:pPr>
              <w:keepLines/>
              <w:widowControl w:val="0"/>
              <w:jc w:val="both"/>
              <w:rPr>
                <w:rFonts w:cstheme="minorHAnsi"/>
              </w:rPr>
            </w:pPr>
          </w:p>
          <w:p w14:paraId="0386D0B0" w14:textId="77777777" w:rsidR="00447229" w:rsidRPr="00447229" w:rsidRDefault="00447229" w:rsidP="00447229">
            <w:pPr>
              <w:keepLines/>
              <w:widowControl w:val="0"/>
              <w:jc w:val="both"/>
              <w:rPr>
                <w:rFonts w:cstheme="minorHAnsi"/>
                <w:lang w:val="en-GB"/>
              </w:rPr>
            </w:pPr>
            <w:r w:rsidRPr="00447229">
              <w:rPr>
                <w:rFonts w:cstheme="minorHAnsi"/>
                <w:lang w:val="en-GB"/>
              </w:rPr>
              <w:t>Uspostaviti mehanizam za pritužbe najkasnije u roku od jednog meseca nakon Datuma stupanja na snagu, a zatim ga održavati i primenjivati tokom čitave implementacije Projekta.</w:t>
            </w:r>
          </w:p>
          <w:p w14:paraId="17858516" w14:textId="672EA542" w:rsidR="008B00F9" w:rsidRPr="00984C70" w:rsidRDefault="008B00F9" w:rsidP="00EC7CAF">
            <w:pPr>
              <w:keepLines/>
              <w:widowControl w:val="0"/>
              <w:jc w:val="both"/>
              <w:rPr>
                <w:rFonts w:cstheme="minorHAnsi"/>
              </w:rPr>
            </w:pPr>
          </w:p>
        </w:tc>
        <w:tc>
          <w:tcPr>
            <w:tcW w:w="2160" w:type="dxa"/>
          </w:tcPr>
          <w:p w14:paraId="31ECE694" w14:textId="77777777" w:rsidR="005F022D" w:rsidRPr="00984C70" w:rsidRDefault="005F022D" w:rsidP="00EC7CAF">
            <w:pPr>
              <w:keepLines/>
              <w:widowControl w:val="0"/>
              <w:jc w:val="both"/>
              <w:rPr>
                <w:rFonts w:cstheme="minorHAnsi"/>
              </w:rPr>
            </w:pPr>
          </w:p>
          <w:p w14:paraId="5DB041BA" w14:textId="77777777" w:rsidR="005F022D" w:rsidRPr="00984C70" w:rsidRDefault="005F022D" w:rsidP="00EC7CAF">
            <w:pPr>
              <w:keepLines/>
              <w:widowControl w:val="0"/>
              <w:jc w:val="both"/>
              <w:rPr>
                <w:rFonts w:cstheme="minorHAnsi"/>
              </w:rPr>
            </w:pPr>
          </w:p>
          <w:p w14:paraId="784F5B8E" w14:textId="68569C1F" w:rsidR="008B00F9" w:rsidRPr="00984C70" w:rsidRDefault="00EF1ED5" w:rsidP="00EC7CAF">
            <w:pPr>
              <w:keepLines/>
              <w:widowControl w:val="0"/>
              <w:jc w:val="both"/>
              <w:rPr>
                <w:rFonts w:cstheme="minorHAnsi"/>
              </w:rPr>
            </w:pPr>
            <w:r w:rsidRPr="00984C70">
              <w:rPr>
                <w:rFonts w:cstheme="minorHAnsi"/>
              </w:rPr>
              <w:t xml:space="preserve">OITEG /PIU </w:t>
            </w:r>
          </w:p>
        </w:tc>
      </w:tr>
      <w:tr w:rsidR="008B00F9" w:rsidRPr="00984C70" w14:paraId="01A3ABB3" w14:textId="77777777" w:rsidTr="32DC1B58">
        <w:trPr>
          <w:trHeight w:val="20"/>
        </w:trPr>
        <w:tc>
          <w:tcPr>
            <w:tcW w:w="14305" w:type="dxa"/>
            <w:gridSpan w:val="4"/>
            <w:shd w:val="clear" w:color="auto" w:fill="F4B083" w:themeFill="accent2" w:themeFillTint="99"/>
          </w:tcPr>
          <w:p w14:paraId="280D8862" w14:textId="2C345107" w:rsidR="00E87E44" w:rsidRPr="00E87E44" w:rsidRDefault="00E87E44" w:rsidP="00E87E44">
            <w:pPr>
              <w:widowControl w:val="0"/>
              <w:rPr>
                <w:rFonts w:cstheme="minorHAnsi"/>
                <w:b/>
                <w:bCs/>
                <w:lang w:val="en-GB"/>
              </w:rPr>
            </w:pPr>
            <w:r w:rsidRPr="00E87E44">
              <w:rPr>
                <w:rFonts w:cstheme="minorHAnsi"/>
                <w:b/>
                <w:bCs/>
                <w:lang w:val="en-GB"/>
              </w:rPr>
              <w:lastRenderedPageBreak/>
              <w:t>INDIKATORI SPREMNOSTI ZA IMPLEMENTACIJU</w:t>
            </w:r>
          </w:p>
          <w:p w14:paraId="7CC08B0F" w14:textId="37F8A6F6" w:rsidR="008B00F9" w:rsidRPr="00E87E44" w:rsidRDefault="00E87E44" w:rsidP="004A4669">
            <w:pPr>
              <w:keepLines/>
              <w:widowControl w:val="0"/>
              <w:rPr>
                <w:rFonts w:cstheme="minorHAnsi"/>
                <w:b/>
                <w:lang w:val="en-GB"/>
              </w:rPr>
            </w:pPr>
            <w:r w:rsidRPr="00E87E44">
              <w:rPr>
                <w:rFonts w:cstheme="minorHAnsi"/>
                <w:b/>
                <w:lang w:val="en-GB"/>
              </w:rPr>
              <w:t xml:space="preserve">Ovaj pododeljak navodi aktivnosti iz ESCP-a (prema njihovom numerisanju u prvoj koloni ESCP-a) koje su relevantne za praćenje spremnosti Projekta sa aspekta zaštite životne sredine i </w:t>
            </w:r>
            <w:r w:rsidR="004A4669">
              <w:rPr>
                <w:rFonts w:cstheme="minorHAnsi"/>
                <w:b/>
                <w:lang w:val="en-GB"/>
              </w:rPr>
              <w:t>dru</w:t>
            </w:r>
            <w:r w:rsidR="004A4669">
              <w:rPr>
                <w:rFonts w:cstheme="minorHAnsi"/>
                <w:b/>
                <w:lang w:val="sr-Latn-RS"/>
              </w:rPr>
              <w:t>štvenih</w:t>
            </w:r>
            <w:r w:rsidRPr="00E87E44">
              <w:rPr>
                <w:rFonts w:cstheme="minorHAnsi"/>
                <w:b/>
                <w:lang w:val="en-GB"/>
              </w:rPr>
              <w:t xml:space="preserve"> pitanja (E&amp;S). One mogu uključivati aktivnosti koje se odnose na:</w:t>
            </w:r>
            <w:r>
              <w:rPr>
                <w:rFonts w:cstheme="minorHAnsi"/>
                <w:b/>
                <w:lang w:val="en-GB"/>
              </w:rPr>
              <w:t xml:space="preserve"> </w:t>
            </w:r>
            <w:r w:rsidRPr="00E87E44">
              <w:rPr>
                <w:rFonts w:cstheme="minorHAnsi"/>
                <w:b/>
                <w:lang w:val="en-GB"/>
              </w:rPr>
              <w:t>i) uspostavljanje jedinica za upravljanje E&amp;S rizicima u institucijama koje sprovode Projekat;</w:t>
            </w:r>
            <w:r>
              <w:rPr>
                <w:rFonts w:cstheme="minorHAnsi"/>
                <w:b/>
                <w:lang w:val="en-GB"/>
              </w:rPr>
              <w:t xml:space="preserve"> </w:t>
            </w:r>
            <w:r w:rsidRPr="00E87E44">
              <w:rPr>
                <w:rFonts w:cstheme="minorHAnsi"/>
                <w:b/>
                <w:lang w:val="en-GB"/>
              </w:rPr>
              <w:t>ii) zapošljavanje i obuku E&amp;S osoblja u okviru institucija za implementaciju Projekta;</w:t>
            </w:r>
            <w:r>
              <w:rPr>
                <w:rFonts w:cstheme="minorHAnsi"/>
                <w:b/>
                <w:lang w:val="en-GB"/>
              </w:rPr>
              <w:t xml:space="preserve"> </w:t>
            </w:r>
            <w:r w:rsidRPr="00E87E44">
              <w:rPr>
                <w:rFonts w:cstheme="minorHAnsi"/>
                <w:b/>
                <w:lang w:val="en-GB"/>
              </w:rPr>
              <w:t>iii) memorandume o razumevanju ili druge pisane sporazume/aranžmane između institucija za implementaciju Projekta i drugih relevantnih organa, radi obezbeđivanja adekvatne koordinacije aktivnosti upravljanja E&amp;S rizicima;</w:t>
            </w:r>
            <w:r>
              <w:rPr>
                <w:rFonts w:cstheme="minorHAnsi"/>
                <w:b/>
                <w:lang w:val="en-GB"/>
              </w:rPr>
              <w:t xml:space="preserve"> </w:t>
            </w:r>
            <w:r w:rsidRPr="00E87E44">
              <w:rPr>
                <w:rFonts w:cstheme="minorHAnsi"/>
                <w:b/>
                <w:lang w:val="en-GB"/>
              </w:rPr>
              <w:t>iv) uslove efektivnosti ili uslove za povlačenje sredstava u vezi sa E&amp;S, ako se smatra opravdanim;v) E&amp;S procene i planove koje Zajmoprimac priprema na početku implementacije;</w:t>
            </w:r>
            <w:r>
              <w:rPr>
                <w:rFonts w:cstheme="minorHAnsi"/>
                <w:b/>
                <w:lang w:val="en-GB"/>
              </w:rPr>
              <w:t xml:space="preserve"> </w:t>
            </w:r>
            <w:r w:rsidRPr="00E87E44">
              <w:rPr>
                <w:rFonts w:cstheme="minorHAnsi"/>
                <w:b/>
                <w:lang w:val="en-GB"/>
              </w:rPr>
              <w:t>vi) druge zahteve specifične za projekat koji se odnose na spremnost z</w:t>
            </w:r>
            <w:r>
              <w:rPr>
                <w:rFonts w:cstheme="minorHAnsi"/>
                <w:b/>
                <w:lang w:val="en-GB"/>
              </w:rPr>
              <w:t>a implementaciju sa E&amp;S aspekta</w:t>
            </w:r>
            <w:r w:rsidR="008B00F9" w:rsidRPr="00984C70">
              <w:rPr>
                <w:rFonts w:cstheme="minorHAnsi"/>
              </w:rPr>
              <w:t>].</w:t>
            </w:r>
          </w:p>
        </w:tc>
      </w:tr>
      <w:tr w:rsidR="008B00F9" w:rsidRPr="00984C70" w14:paraId="5B2183B1" w14:textId="77777777" w:rsidTr="32DC1B58">
        <w:trPr>
          <w:trHeight w:val="20"/>
        </w:trPr>
        <w:tc>
          <w:tcPr>
            <w:tcW w:w="14305" w:type="dxa"/>
            <w:gridSpan w:val="4"/>
          </w:tcPr>
          <w:p w14:paraId="53AC4FCA" w14:textId="53FFC062" w:rsidR="004A4669" w:rsidRPr="004A4669" w:rsidRDefault="004A4669" w:rsidP="004A4669">
            <w:pPr>
              <w:keepLines/>
              <w:widowControl w:val="0"/>
              <w:rPr>
                <w:rFonts w:cstheme="minorHAnsi"/>
                <w:bCs/>
                <w:lang w:val="en-GB"/>
              </w:rPr>
            </w:pPr>
            <w:r w:rsidRPr="004A4669">
              <w:rPr>
                <w:rFonts w:cstheme="minorHAnsi"/>
                <w:bCs/>
                <w:lang w:val="en-GB"/>
              </w:rPr>
              <w:t>Sledeće aktivnosti predstavljaju indikatore spremnosti za implementaciju:</w:t>
            </w:r>
          </w:p>
          <w:p w14:paraId="147DE1E3" w14:textId="77777777" w:rsidR="004A4669" w:rsidRPr="004A4669" w:rsidRDefault="004A4669" w:rsidP="004A4669">
            <w:pPr>
              <w:keepLines/>
              <w:widowControl w:val="0"/>
              <w:numPr>
                <w:ilvl w:val="0"/>
                <w:numId w:val="20"/>
              </w:numPr>
              <w:rPr>
                <w:rFonts w:cstheme="minorHAnsi"/>
                <w:bCs/>
                <w:lang w:val="en-GB"/>
              </w:rPr>
            </w:pPr>
            <w:r w:rsidRPr="004A4669">
              <w:rPr>
                <w:rFonts w:cstheme="minorHAnsi"/>
                <w:bCs/>
                <w:lang w:val="en-GB"/>
              </w:rPr>
              <w:t xml:space="preserve">Uspostavljanje Jedinice za implementaciju projekta (PIU) sa odgovarajućim E&amp;S osobljem (A iznad). </w:t>
            </w:r>
          </w:p>
          <w:p w14:paraId="3C4F6B5A" w14:textId="77777777" w:rsidR="004A4669" w:rsidRPr="004A4669" w:rsidRDefault="004A4669" w:rsidP="004A4669">
            <w:pPr>
              <w:keepLines/>
              <w:widowControl w:val="0"/>
              <w:numPr>
                <w:ilvl w:val="0"/>
                <w:numId w:val="20"/>
              </w:numPr>
              <w:rPr>
                <w:rFonts w:cstheme="minorHAnsi"/>
                <w:bCs/>
                <w:lang w:val="en-GB"/>
              </w:rPr>
            </w:pPr>
            <w:r w:rsidRPr="004A4669">
              <w:rPr>
                <w:rFonts w:cstheme="minorHAnsi"/>
                <w:bCs/>
                <w:lang w:val="en-GB"/>
              </w:rPr>
              <w:t xml:space="preserve">Zapošljavanje i obuka E&amp;S osoblja u okviru PIU (B iznad). </w:t>
            </w:r>
          </w:p>
          <w:p w14:paraId="4DD623C7" w14:textId="24110BA3" w:rsidR="004A4669" w:rsidRPr="004A4669" w:rsidRDefault="004A4669" w:rsidP="004A4669">
            <w:pPr>
              <w:keepLines/>
              <w:widowControl w:val="0"/>
              <w:numPr>
                <w:ilvl w:val="0"/>
                <w:numId w:val="20"/>
              </w:numPr>
              <w:rPr>
                <w:rFonts w:cstheme="minorHAnsi"/>
                <w:bCs/>
                <w:lang w:val="en-GB"/>
              </w:rPr>
            </w:pPr>
            <w:r w:rsidRPr="004A4669">
              <w:rPr>
                <w:rFonts w:cstheme="minorHAnsi"/>
                <w:bCs/>
                <w:lang w:val="en-GB"/>
              </w:rPr>
              <w:t xml:space="preserve">Priprema E&amp;S </w:t>
            </w:r>
            <w:r w:rsidR="004A74C5">
              <w:rPr>
                <w:rFonts w:cstheme="minorHAnsi"/>
                <w:bCs/>
                <w:lang w:val="en-GB"/>
              </w:rPr>
              <w:t>odeljka</w:t>
            </w:r>
            <w:r w:rsidRPr="004A4669">
              <w:rPr>
                <w:rFonts w:cstheme="minorHAnsi"/>
                <w:bCs/>
                <w:lang w:val="en-GB"/>
              </w:rPr>
              <w:t xml:space="preserve"> POM-</w:t>
            </w:r>
            <w:proofErr w:type="gramStart"/>
            <w:r w:rsidRPr="004A4669">
              <w:rPr>
                <w:rFonts w:cstheme="minorHAnsi"/>
                <w:bCs/>
                <w:lang w:val="en-GB"/>
              </w:rPr>
              <w:t>a</w:t>
            </w:r>
            <w:proofErr w:type="gramEnd"/>
            <w:r w:rsidRPr="004A4669">
              <w:rPr>
                <w:rFonts w:cstheme="minorHAnsi"/>
                <w:bCs/>
                <w:lang w:val="en-GB"/>
              </w:rPr>
              <w:t xml:space="preserve"> od st</w:t>
            </w:r>
            <w:r w:rsidR="004A74C5">
              <w:rPr>
                <w:rFonts w:cstheme="minorHAnsi"/>
                <w:bCs/>
                <w:lang w:val="en-GB"/>
              </w:rPr>
              <w:t>rane Zajmoprimca, pre d</w:t>
            </w:r>
            <w:bookmarkStart w:id="0" w:name="_GoBack"/>
            <w:bookmarkEnd w:id="0"/>
            <w:r w:rsidRPr="004A4669">
              <w:rPr>
                <w:rFonts w:cstheme="minorHAnsi"/>
                <w:bCs/>
                <w:lang w:val="en-GB"/>
              </w:rPr>
              <w:t>atuma stupanja na snagu</w:t>
            </w:r>
          </w:p>
          <w:p w14:paraId="69AE3483" w14:textId="4FCF02D4" w:rsidR="008B00F9" w:rsidRPr="00984C70" w:rsidRDefault="008B00F9" w:rsidP="008B00F9">
            <w:pPr>
              <w:keepLines/>
              <w:widowControl w:val="0"/>
              <w:rPr>
                <w:rFonts w:cstheme="minorHAnsi"/>
              </w:rPr>
            </w:pPr>
          </w:p>
        </w:tc>
      </w:tr>
    </w:tbl>
    <w:p w14:paraId="459BEDD7" w14:textId="77777777" w:rsidR="005E70CA" w:rsidRPr="00984C70" w:rsidRDefault="005E70CA">
      <w:pPr>
        <w:rPr>
          <w:rFonts w:cstheme="minorHAnsi"/>
        </w:rPr>
      </w:pPr>
    </w:p>
    <w:sectPr w:rsidR="005E70CA" w:rsidRPr="00984C70"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459A0" w14:textId="77777777" w:rsidR="00821F35" w:rsidRDefault="00821F35" w:rsidP="007757EF">
      <w:pPr>
        <w:spacing w:after="0" w:line="240" w:lineRule="auto"/>
      </w:pPr>
      <w:r>
        <w:separator/>
      </w:r>
    </w:p>
  </w:endnote>
  <w:endnote w:type="continuationSeparator" w:id="0">
    <w:p w14:paraId="57D94D0E" w14:textId="77777777" w:rsidR="00821F35" w:rsidRDefault="00821F35" w:rsidP="007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24E6A" w14:textId="5B9E02AF" w:rsidR="00A10855" w:rsidRDefault="00A10855">
    <w:pPr>
      <w:pStyle w:val="Footer"/>
    </w:pPr>
    <w:r>
      <w:rPr>
        <w:noProof/>
        <w:lang w:val="en-GB" w:eastAsia="en-GB"/>
      </w:rPr>
      <mc:AlternateContent>
        <mc:Choice Requires="wps">
          <w:drawing>
            <wp:anchor distT="0" distB="0" distL="0" distR="0" simplePos="0" relativeHeight="251653120" behindDoc="0" locked="0" layoutInCell="1" allowOverlap="1" wp14:anchorId="57D9CCBD" wp14:editId="214C9DFB">
              <wp:simplePos x="635" y="635"/>
              <wp:positionH relativeFrom="page">
                <wp:align>right</wp:align>
              </wp:positionH>
              <wp:positionV relativeFrom="page">
                <wp:align>bottom</wp:align>
              </wp:positionV>
              <wp:extent cx="1073150" cy="342900"/>
              <wp:effectExtent l="0" t="0" r="0" b="0"/>
              <wp:wrapNone/>
              <wp:docPr id="502739605"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D9CCBD" id="_x0000_t202" coordsize="21600,21600" o:spt="202" path="m,l,21600r21600,l21600,xe">
              <v:stroke joinstyle="miter"/>
              <v:path gradientshapeok="t" o:connecttype="rect"/>
            </v:shapetype>
            <v:shape id="Text Box 2" o:spid="_x0000_s1026" type="#_x0000_t202" alt="Official Use Only" style="position:absolute;margin-left:33.3pt;margin-top:0;width:84.5pt;height:27pt;z-index:2516531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v2veAIAALcEAAAOAAAAZHJzL2Uyb0RvYy54bWysVMFu2zAMvQ/YPwi6J3bcuGmCOIWb1MOA&#10;oinQFj0rspwYkCVBUmJnw/69pJxkW7fTsItMkRT5+Eh6fts1khyEdbVWGR0NY0qE4rqs1Tajry/F&#10;4IYS55kqmdRKZPQoHL1dfP40b81MJHqnZSksgSDKzVqT0Z33ZhZFju9Ew9xQG6HAWGnbMA9Xu41K&#10;y1qI3sgoiePrqNW2NFZz4RxoV72RLkL8qhLcr6vKCU9kRgGbD6cN5wbPaDFns61lZlfzEwz2Dyga&#10;VitIegm1Yp6Rva3/CNXU3GqnKz/kuol0VdVchBqgmlH8oZrnHTMi1ALkOHOhyf2/sPzx8GRJXWY0&#10;jZPJ1fQ6TilRrIFWvYjOkzvdkYSSUjgOrAGXNa+ZJK9OkLWSx1Az+D04j9Xji1D19zS/H4+KPBks&#10;46IYjMeTeDC9W40HaZGvlvnNZHl3n/xA9qPwKryPWuNmARC2L4jPBtD5DlDAcKE76h0oMVtX2Qa/&#10;wCIBO7T3eGkpIuH4KJ5cjVIwcbBdjZNpHHoOWc+vjXX+i9ANQSGjFkYmVMUOAKoHeHbBZEoXtZRh&#10;bKT6TQExUROq6CEiWN9tuhPujS6PUI7V/RQ6w4sacj4w55+YhbEDmLBKfg1HJXWbUX2SKNlp++1v&#10;evSHaQArJS2McUYV7Bkl8quCKcGJPws2CEk6joECsgm30TRO8ab2zVLDhoxgWQ0PImitl2exsrp5&#10;g03LMRuYmOKQM6Obs7j0/VLBpnKR58EJJtww/6CeDcfQSBYy+dK9MWtOdHto1KM+DzqbfWC998WX&#10;zuR7D9yHliCxPZsnvmE7wiidNhnX79d78Pr5v1m8AwAA//8DAFBLAwQUAAYACAAAACEApLr1+NsA&#10;AAAEAQAADwAAAGRycy9kb3ducmV2LnhtbEyPUUvDMBSF3wX/Q7iCL7Klkxm0azrmwAdBBpsyX9Pm&#10;ri1LbkqSdd2/N/NFXw4czuWc7xbL0Ro2oA+dIwmzaQYMqXa6o0bC1+fb5BlYiIq0Mo5QwgUDLMvb&#10;m0Ll2p1pi8MuNiyVUMiVhDbGPuc81C1aFaauR0rZwXmrYrK+4dqrcyq3hj9mmeBWdZQWWtXjusX6&#10;uDtZCa8PYV99HP3lfTN34ntYC9NvhJT3d+NqASziGP+O4Yqf0KFMTJU7kQ7MSEiPxF+9ZuIl2UrC&#10;0zwDXhb8P3z5AwAA//8DAFBLAQItABQABgAIAAAAIQC2gziS/gAAAOEBAAATAAAAAAAAAAAAAAAA&#10;AAAAAABbQ29udGVudF9UeXBlc10ueG1sUEsBAi0AFAAGAAgAAAAhADj9If/WAAAAlAEAAAsAAAAA&#10;AAAAAAAAAAAALwEAAF9yZWxzLy5yZWxzUEsBAi0AFAAGAAgAAAAhAPhe/a94AgAAtwQAAA4AAAAA&#10;AAAAAAAAAAAALgIAAGRycy9lMm9Eb2MueG1sUEsBAi0AFAAGAAgAAAAhAKS69fjbAAAABAEAAA8A&#10;AAAAAAAAAAAAAAAA0gQAAGRycy9kb3ducmV2LnhtbFBLBQYAAAAABAAEAPMAAADaBQAAAAA=&#10;" filled="f" stroked="f">
              <v:textbox style="mso-fit-shape-to-text:t" inset="0,0,20pt,15pt">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201409"/>
      <w:docPartObj>
        <w:docPartGallery w:val="Page Numbers (Bottom of Page)"/>
        <w:docPartUnique/>
      </w:docPartObj>
    </w:sdtPr>
    <w:sdtEndPr>
      <w:rPr>
        <w:noProof/>
      </w:rPr>
    </w:sdtEndPr>
    <w:sdtContent>
      <w:p w14:paraId="16D1DE64" w14:textId="50A4A8CB" w:rsidR="006D3C4A" w:rsidRDefault="00A10855">
        <w:pPr>
          <w:pStyle w:val="Footer"/>
          <w:jc w:val="right"/>
        </w:pPr>
        <w:r>
          <w:rPr>
            <w:noProof/>
            <w:lang w:val="en-GB" w:eastAsia="en-GB"/>
          </w:rPr>
          <mc:AlternateContent>
            <mc:Choice Requires="wps">
              <w:drawing>
                <wp:anchor distT="0" distB="0" distL="0" distR="0" simplePos="0" relativeHeight="251657216" behindDoc="0" locked="0" layoutInCell="1" allowOverlap="1" wp14:anchorId="57EC4FE8" wp14:editId="6272EAD7">
                  <wp:simplePos x="635" y="635"/>
                  <wp:positionH relativeFrom="page">
                    <wp:align>right</wp:align>
                  </wp:positionH>
                  <wp:positionV relativeFrom="page">
                    <wp:align>bottom</wp:align>
                  </wp:positionV>
                  <wp:extent cx="1073150" cy="342900"/>
                  <wp:effectExtent l="0" t="0" r="0" b="0"/>
                  <wp:wrapNone/>
                  <wp:docPr id="1620902626"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0B47A5D2" w14:textId="35D23BED" w:rsidR="00A10855" w:rsidRPr="00A10855" w:rsidRDefault="00C212AA" w:rsidP="00A1085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Samo za službenu upotrebu</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EC4FE8" id="_x0000_t202" coordsize="21600,21600" o:spt="202" path="m,l,21600r21600,l21600,xe">
                  <v:stroke joinstyle="miter"/>
                  <v:path gradientshapeok="t" o:connecttype="rect"/>
                </v:shapetype>
                <v:shape id="Text Box 3" o:spid="_x0000_s1027" type="#_x0000_t202" alt="Official Use Only" style="position:absolute;left:0;text-align:left;margin-left:33.3pt;margin-top:0;width:84.5pt;height:27pt;z-index:2516572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skegIAAL8EAAAOAAAAZHJzL2Uyb0RvYy54bWysVMFu2zAMvQ/YPwi6p3bcJG2COoWb1MOA&#10;oi3QFjsrstwYkCVBUmtnw/59T3Lcbd1Owy4yRVLk4yPpi8u+leRVWNdoldPpSUqJUFxXjXrO6dNj&#10;OTmnxHmmKia1Ejk9CEcv1x8/XHRmJTK917ISliCIcqvO5HTvvVklieN70TJ3oo1QMNbatszjap+T&#10;yrIO0VuZZGm6SDptK2M1F85Bux2MdB3j17Xg/q6unfBE5hTYfDxtPHfhTNYXbPVsmdk3/AiD/QOK&#10;ljUKSd9CbZln5MU2f4RqG26107U/4bpNdF03XMQaUM00fVfNw54ZEWsBOc680eT+X1h++3pvSVOh&#10;d4ssXabZIltQoliLXj2K3pMr3ZNTSirhOGgDmQ1vmCRPTpA7JQ+xaPjdOB/KDy9i2d/mxfVsWhbZ&#10;ZJOW5WQ2O0sny6vtbDIvi+2mOD/bXF1n3wP9SXwV3yedcauIKPQvig8G8HwPFEAY3IPeQRmy9bVt&#10;wxc0EtjR38NbTwMSHh6lZ6fTOUwcttNZtkxj05F1fG2s85+EbkkQcmoxM7Eq9gpQA8DRJSRTumyk&#10;jHMj1W8KxAyaWMUAMYD1/a4fCB7h73R1QFVWD9PoDC8bpL5hzt8zi/EDWqyUv8NRS93lVB8lSvba&#10;fv2bPvhjKmClpMM451Rh3yiRnxWmJUz+KNgoZPNZCibILt6my3Qebuql3WhsyhRLa3gUobVejmJt&#10;dfsFG1eEbDAxxZEzp7tR3PhhubCxXBRFdMKkG+Zv1IPhIXTgLBD62H9h1hxZ9+jXrR4Hnq3ekT/4&#10;hpfOFC8eLYidCfwObB5px5bEiTpudFjDX+/R6+d/Z/0DAAD//wMAUEsDBBQABgAIAAAAIQCkuvX4&#10;2wAAAAQBAAAPAAAAZHJzL2Rvd25yZXYueG1sTI9RS8MwFIXfBf9DuIIvsqWTGbRrOubAB0EGmzJf&#10;0+auLUtuSpJ13b8380VfDhzO5ZzvFsvRGjagD50jCbNpBgypdrqjRsLX59vkGViIirQyjlDCBQMs&#10;y9ubQuXanWmLwy42LJVQyJWENsY+5zzULVoVpq5HStnBeatisr7h2qtzKreGP2aZ4FZ1lBZa1eO6&#10;xfq4O1kJrw9hX30c/eV9M3fie1gL02+ElPd342oBLOIY/47hip/QoUxMlTuRDsxISI/EX71m4iXZ&#10;SsLTPANeFvw/fPkDAAD//wMAUEsBAi0AFAAGAAgAAAAhALaDOJL+AAAA4QEAABMAAAAAAAAAAAAA&#10;AAAAAAAAAFtDb250ZW50X1R5cGVzXS54bWxQSwECLQAUAAYACAAAACEAOP0h/9YAAACUAQAACwAA&#10;AAAAAAAAAAAAAAAvAQAAX3JlbHMvLnJlbHNQSwECLQAUAAYACAAAACEAaNz7JHoCAAC/BAAADgAA&#10;AAAAAAAAAAAAAAAuAgAAZHJzL2Uyb0RvYy54bWxQSwECLQAUAAYACAAAACEApLr1+NsAAAAEAQAA&#10;DwAAAAAAAAAAAAAAAADUBAAAZHJzL2Rvd25yZXYueG1sUEsFBgAAAAAEAAQA8wAAANwFAAAAAA==&#10;" filled="f" stroked="f">
                  <v:textbox style="mso-fit-shape-to-text:t" inset="0,0,20pt,15pt">
                    <w:txbxContent>
                      <w:p w14:paraId="0B47A5D2" w14:textId="35D23BED" w:rsidR="00A10855" w:rsidRPr="00A10855" w:rsidRDefault="00C212AA" w:rsidP="00A10855">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Samo za službenu upotrebu</w:t>
                        </w:r>
                      </w:p>
                    </w:txbxContent>
                  </v:textbox>
                  <w10:wrap anchorx="page" anchory="page"/>
                </v:shape>
              </w:pict>
            </mc:Fallback>
          </mc:AlternateContent>
        </w:r>
      </w:p>
    </w:sdtContent>
  </w:sdt>
  <w:p w14:paraId="2EC906B7" w14:textId="10C9055C" w:rsidR="006D3C4A" w:rsidRDefault="006D3C4A">
    <w:pPr>
      <w:pStyle w:val="Footer"/>
      <w:jc w:val="right"/>
    </w:pPr>
    <w:r>
      <w:fldChar w:fldCharType="begin"/>
    </w:r>
    <w:r>
      <w:instrText xml:space="preserve"> PAGE   \* MERGEFORMAT </w:instrText>
    </w:r>
    <w:r>
      <w:fldChar w:fldCharType="separate"/>
    </w:r>
    <w:r w:rsidR="004A74C5">
      <w:rPr>
        <w:noProof/>
      </w:rPr>
      <w:t>8</w:t>
    </w:r>
    <w:r>
      <w:rPr>
        <w:noProof/>
      </w:rPr>
      <w:fldChar w:fldCharType="end"/>
    </w:r>
  </w:p>
  <w:p w14:paraId="081466C2" w14:textId="77777777" w:rsidR="006D3C4A" w:rsidRDefault="006D3C4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22DF5" w14:textId="647DDF3A" w:rsidR="00A10855" w:rsidRDefault="00A10855">
    <w:pPr>
      <w:pStyle w:val="Footer"/>
    </w:pPr>
    <w:r>
      <w:rPr>
        <w:noProof/>
        <w:lang w:val="en-GB" w:eastAsia="en-GB"/>
      </w:rPr>
      <mc:AlternateContent>
        <mc:Choice Requires="wps">
          <w:drawing>
            <wp:anchor distT="0" distB="0" distL="0" distR="0" simplePos="0" relativeHeight="251649024" behindDoc="0" locked="0" layoutInCell="1" allowOverlap="1" wp14:anchorId="4BE9A91C" wp14:editId="6F2A50BF">
              <wp:simplePos x="635" y="635"/>
              <wp:positionH relativeFrom="page">
                <wp:align>right</wp:align>
              </wp:positionH>
              <wp:positionV relativeFrom="page">
                <wp:align>bottom</wp:align>
              </wp:positionV>
              <wp:extent cx="1073150" cy="342900"/>
              <wp:effectExtent l="0" t="0" r="0" b="0"/>
              <wp:wrapNone/>
              <wp:docPr id="2033678121"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E9A91C" id="_x0000_t202" coordsize="21600,21600" o:spt="202" path="m,l,21600r21600,l21600,xe">
              <v:stroke joinstyle="miter"/>
              <v:path gradientshapeok="t" o:connecttype="rect"/>
            </v:shapetype>
            <v:shape id="Text Box 1" o:spid="_x0000_s1028" type="#_x0000_t202" alt="Official Use Only" style="position:absolute;margin-left:33.3pt;margin-top:0;width:84.5pt;height:27pt;z-index:2516490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AegIAAL8EAAAOAAAAZHJzL2Uyb0RvYy54bWysVE1v2zAMvQ/YfxB0T/2RpEmDOoWb1MOA&#10;oi3QFj0rstwYsCVBUmtnw/57n+S427qdhl1kiqTIx0fS5xd925BXYWytZEaTk5gSIbkqa/mc0ceH&#10;YrKkxDomS9YoKTJ6EJZerD9/Ou/0SqRqr5pSGIIg0q46ndG9c3oVRZbvRcvsidJCwlgp0zKHq3mO&#10;SsM6RG+bKI3j06hTptRGcWEttNvBSNchflUJ7m6rygpHmowCmwunCefOn9H6nK2eDdP7mh9hsH9A&#10;0bJaIul7qC1zjLyY+o9Qbc2NsqpyJ1y1kaqqmotQA6pJ4g/V3O+ZFqEWkGP1O032/4XlN693htRl&#10;RtN4Oj1dLJM0oUSyFr16EL0jl6on0JTCctAGMmtes4Y8WkFuZXMIRcPv2jpfvn8Ryv4+z69mSZGn&#10;k01cFJPZbBFPzi63s8m8yLebfLnYXF6lPzz9UXgV3kedtquAyPcviPca8FwPFJgu7+71Fkqfra9M&#10;67+gkcCO/h7ee+qRcP8oXkyTOUwctuksPYtD05F1fK2NdV+EaokXMmowM6Eq9gpQA8DRxSeTqqib&#10;JsxNI39TIKbXhCoGiB6s63f9QPAIf6fKA6oyaphGq3lRI/U1s+6OGYwf0GKl3C2OqlFdRtVRomSv&#10;zLe/6b0/pgJWSjqMc0Yl9o2S5qvEtPjJHwUThHQ+i8EE2YVbchbP/U2+tBuFTUHDgSqI0BrXjGJl&#10;VPuEjct9NpiY5MiZ0d0obtywXNhYLvI8OGHSNXPX8l5zH9pz5gl96J+Y0UfWHfp1o8aBZ6sP5A++&#10;/qXV+YtDC0JnPL8Dm0fasSVhoo4b7dfw13vw+vnfWb8BAAD//wMAUEsDBBQABgAIAAAAIQCkuvX4&#10;2wAAAAQBAAAPAAAAZHJzL2Rvd25yZXYueG1sTI9RS8MwFIXfBf9DuIIvsqWTGbRrOubAB0EGmzJf&#10;0+auLUtuSpJ13b8380VfDhzO5ZzvFsvRGjagD50jCbNpBgypdrqjRsLX59vkGViIirQyjlDCBQMs&#10;y9ubQuXanWmLwy42LJVQyJWENsY+5zzULVoVpq5HStnBeatisr7h2qtzKreGP2aZ4FZ1lBZa1eO6&#10;xfq4O1kJrw9hX30c/eV9M3fie1gL02+ElPd342oBLOIY/47hip/QoUxMlTuRDsxISI/EX71m4iXZ&#10;SsLTPANeFvw/fPkDAAD//wMAUEsBAi0AFAAGAAgAAAAhALaDOJL+AAAA4QEAABMAAAAAAAAAAAAA&#10;AAAAAAAAAFtDb250ZW50X1R5cGVzXS54bWxQSwECLQAUAAYACAAAACEAOP0h/9YAAACUAQAACwAA&#10;AAAAAAAAAAAAAAAvAQAAX3JlbHMvLnJlbHNQSwECLQAUAAYACAAAACEA6P5iQHoCAAC/BAAADgAA&#10;AAAAAAAAAAAAAAAuAgAAZHJzL2Uyb0RvYy54bWxQSwECLQAUAAYACAAAACEApLr1+NsAAAAEAQAA&#10;DwAAAAAAAAAAAAAAAADUBAAAZHJzL2Rvd25yZXYueG1sUEsFBgAAAAAEAAQA8wAAANwFAAAAAA==&#10;" filled="f" stroked="f">
              <v:textbox style="mso-fit-shape-to-text:t" inset="0,0,20pt,15pt">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9B52A" w14:textId="77777777" w:rsidR="00821F35" w:rsidRDefault="00821F35" w:rsidP="007757EF">
      <w:pPr>
        <w:spacing w:after="0" w:line="240" w:lineRule="auto"/>
      </w:pPr>
      <w:r>
        <w:separator/>
      </w:r>
    </w:p>
  </w:footnote>
  <w:footnote w:type="continuationSeparator" w:id="0">
    <w:p w14:paraId="4D93A589" w14:textId="77777777" w:rsidR="00821F35" w:rsidRDefault="00821F35" w:rsidP="007757EF">
      <w:pPr>
        <w:spacing w:after="0" w:line="240" w:lineRule="auto"/>
      </w:pPr>
      <w:r>
        <w:continuationSeparator/>
      </w:r>
    </w:p>
  </w:footnote>
  <w:footnote w:id="1">
    <w:p w14:paraId="40B7B7CE" w14:textId="400808B1" w:rsidR="007757EF" w:rsidRPr="00A00676" w:rsidRDefault="007757EF" w:rsidP="007757EF">
      <w:pPr>
        <w:pStyle w:val="FootnoteText"/>
      </w:pPr>
      <w:r w:rsidRPr="00A00676">
        <w:rPr>
          <w:rFonts w:eastAsia="Times New Roman" w:cstheme="minorHAnsi"/>
          <w:bCs/>
        </w:rPr>
        <w:t>.</w:t>
      </w:r>
      <w:r w:rsidRPr="00A00676">
        <w:rPr>
          <w:rStyle w:val="CommentReference"/>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0234"/>
    <w:multiLevelType w:val="hybridMultilevel"/>
    <w:tmpl w:val="FF76DB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34382"/>
    <w:multiLevelType w:val="multilevel"/>
    <w:tmpl w:val="4108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F507D"/>
    <w:multiLevelType w:val="multilevel"/>
    <w:tmpl w:val="0FBC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42ED9"/>
    <w:multiLevelType w:val="multilevel"/>
    <w:tmpl w:val="F4DE6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50238"/>
    <w:multiLevelType w:val="hybridMultilevel"/>
    <w:tmpl w:val="A1B2B88E"/>
    <w:lvl w:ilvl="0" w:tplc="B4C8CC6C">
      <w:start w:val="1"/>
      <w:numFmt w:val="decimal"/>
      <w:lvlText w:val="%1."/>
      <w:lvlJc w:val="left"/>
      <w:pPr>
        <w:ind w:left="1020" w:hanging="360"/>
      </w:pPr>
    </w:lvl>
    <w:lvl w:ilvl="1" w:tplc="EADCAFF2">
      <w:start w:val="1"/>
      <w:numFmt w:val="decimal"/>
      <w:lvlText w:val="%2."/>
      <w:lvlJc w:val="left"/>
      <w:pPr>
        <w:ind w:left="1020" w:hanging="360"/>
      </w:pPr>
    </w:lvl>
    <w:lvl w:ilvl="2" w:tplc="73EC88EE">
      <w:start w:val="1"/>
      <w:numFmt w:val="decimal"/>
      <w:lvlText w:val="%3."/>
      <w:lvlJc w:val="left"/>
      <w:pPr>
        <w:ind w:left="1020" w:hanging="360"/>
      </w:pPr>
    </w:lvl>
    <w:lvl w:ilvl="3" w:tplc="96781840">
      <w:start w:val="1"/>
      <w:numFmt w:val="decimal"/>
      <w:lvlText w:val="%4."/>
      <w:lvlJc w:val="left"/>
      <w:pPr>
        <w:ind w:left="1020" w:hanging="360"/>
      </w:pPr>
    </w:lvl>
    <w:lvl w:ilvl="4" w:tplc="B61A9172">
      <w:start w:val="1"/>
      <w:numFmt w:val="decimal"/>
      <w:lvlText w:val="%5."/>
      <w:lvlJc w:val="left"/>
      <w:pPr>
        <w:ind w:left="1020" w:hanging="360"/>
      </w:pPr>
    </w:lvl>
    <w:lvl w:ilvl="5" w:tplc="52A28358">
      <w:start w:val="1"/>
      <w:numFmt w:val="decimal"/>
      <w:lvlText w:val="%6."/>
      <w:lvlJc w:val="left"/>
      <w:pPr>
        <w:ind w:left="1020" w:hanging="360"/>
      </w:pPr>
    </w:lvl>
    <w:lvl w:ilvl="6" w:tplc="68564B4A">
      <w:start w:val="1"/>
      <w:numFmt w:val="decimal"/>
      <w:lvlText w:val="%7."/>
      <w:lvlJc w:val="left"/>
      <w:pPr>
        <w:ind w:left="1020" w:hanging="360"/>
      </w:pPr>
    </w:lvl>
    <w:lvl w:ilvl="7" w:tplc="B73C120C">
      <w:start w:val="1"/>
      <w:numFmt w:val="decimal"/>
      <w:lvlText w:val="%8."/>
      <w:lvlJc w:val="left"/>
      <w:pPr>
        <w:ind w:left="1020" w:hanging="360"/>
      </w:pPr>
    </w:lvl>
    <w:lvl w:ilvl="8" w:tplc="A15A88E2">
      <w:start w:val="1"/>
      <w:numFmt w:val="decimal"/>
      <w:lvlText w:val="%9."/>
      <w:lvlJc w:val="left"/>
      <w:pPr>
        <w:ind w:left="1020" w:hanging="360"/>
      </w:pPr>
    </w:lvl>
  </w:abstractNum>
  <w:abstractNum w:abstractNumId="8"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16A68"/>
    <w:multiLevelType w:val="multilevel"/>
    <w:tmpl w:val="C2828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F66883"/>
    <w:multiLevelType w:val="multilevel"/>
    <w:tmpl w:val="85CE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F578CA"/>
    <w:multiLevelType w:val="hybridMultilevel"/>
    <w:tmpl w:val="5C18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7C6C79"/>
    <w:multiLevelType w:val="hybridMultilevel"/>
    <w:tmpl w:val="3A1CBC08"/>
    <w:lvl w:ilvl="0" w:tplc="2056F28E">
      <w:start w:val="1"/>
      <w:numFmt w:val="decimal"/>
      <w:lvlText w:val="%1."/>
      <w:lvlJc w:val="left"/>
      <w:pPr>
        <w:ind w:left="1020" w:hanging="360"/>
      </w:pPr>
    </w:lvl>
    <w:lvl w:ilvl="1" w:tplc="D90085DA">
      <w:start w:val="1"/>
      <w:numFmt w:val="decimal"/>
      <w:lvlText w:val="%2."/>
      <w:lvlJc w:val="left"/>
      <w:pPr>
        <w:ind w:left="1020" w:hanging="360"/>
      </w:pPr>
    </w:lvl>
    <w:lvl w:ilvl="2" w:tplc="63788256">
      <w:start w:val="1"/>
      <w:numFmt w:val="decimal"/>
      <w:lvlText w:val="%3."/>
      <w:lvlJc w:val="left"/>
      <w:pPr>
        <w:ind w:left="1020" w:hanging="360"/>
      </w:pPr>
    </w:lvl>
    <w:lvl w:ilvl="3" w:tplc="AE00C2A6">
      <w:start w:val="1"/>
      <w:numFmt w:val="decimal"/>
      <w:lvlText w:val="%4."/>
      <w:lvlJc w:val="left"/>
      <w:pPr>
        <w:ind w:left="1020" w:hanging="360"/>
      </w:pPr>
    </w:lvl>
    <w:lvl w:ilvl="4" w:tplc="DA86029A">
      <w:start w:val="1"/>
      <w:numFmt w:val="decimal"/>
      <w:lvlText w:val="%5."/>
      <w:lvlJc w:val="left"/>
      <w:pPr>
        <w:ind w:left="1020" w:hanging="360"/>
      </w:pPr>
    </w:lvl>
    <w:lvl w:ilvl="5" w:tplc="30EA0FBE">
      <w:start w:val="1"/>
      <w:numFmt w:val="decimal"/>
      <w:lvlText w:val="%6."/>
      <w:lvlJc w:val="left"/>
      <w:pPr>
        <w:ind w:left="1020" w:hanging="360"/>
      </w:pPr>
    </w:lvl>
    <w:lvl w:ilvl="6" w:tplc="339C4206">
      <w:start w:val="1"/>
      <w:numFmt w:val="decimal"/>
      <w:lvlText w:val="%7."/>
      <w:lvlJc w:val="left"/>
      <w:pPr>
        <w:ind w:left="1020" w:hanging="360"/>
      </w:pPr>
    </w:lvl>
    <w:lvl w:ilvl="7" w:tplc="69508372">
      <w:start w:val="1"/>
      <w:numFmt w:val="decimal"/>
      <w:lvlText w:val="%8."/>
      <w:lvlJc w:val="left"/>
      <w:pPr>
        <w:ind w:left="1020" w:hanging="360"/>
      </w:pPr>
    </w:lvl>
    <w:lvl w:ilvl="8" w:tplc="34DE8006">
      <w:start w:val="1"/>
      <w:numFmt w:val="decimal"/>
      <w:lvlText w:val="%9."/>
      <w:lvlJc w:val="left"/>
      <w:pPr>
        <w:ind w:left="1020" w:hanging="360"/>
      </w:pPr>
    </w:lvl>
  </w:abstractNum>
  <w:abstractNum w:abstractNumId="17" w15:restartNumberingAfterBreak="0">
    <w:nsid w:val="653E54ED"/>
    <w:multiLevelType w:val="hybridMultilevel"/>
    <w:tmpl w:val="21CABC84"/>
    <w:lvl w:ilvl="0" w:tplc="95D6B85C">
      <w:start w:val="1"/>
      <w:numFmt w:val="decimal"/>
      <w:lvlText w:val="%1."/>
      <w:lvlJc w:val="left"/>
      <w:pPr>
        <w:ind w:left="720" w:hanging="360"/>
      </w:pPr>
      <w:rPr>
        <w:rFonts w:hint="default"/>
        <w:b/>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D074C0"/>
    <w:multiLevelType w:val="hybridMultilevel"/>
    <w:tmpl w:val="F362A7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9"/>
  </w:num>
  <w:num w:numId="4">
    <w:abstractNumId w:val="6"/>
  </w:num>
  <w:num w:numId="5">
    <w:abstractNumId w:val="10"/>
  </w:num>
  <w:num w:numId="6">
    <w:abstractNumId w:val="5"/>
  </w:num>
  <w:num w:numId="7">
    <w:abstractNumId w:val="8"/>
  </w:num>
  <w:num w:numId="8">
    <w:abstractNumId w:val="14"/>
  </w:num>
  <w:num w:numId="9">
    <w:abstractNumId w:val="3"/>
  </w:num>
  <w:num w:numId="10">
    <w:abstractNumId w:val="18"/>
  </w:num>
  <w:num w:numId="11">
    <w:abstractNumId w:val="0"/>
  </w:num>
  <w:num w:numId="12">
    <w:abstractNumId w:val="4"/>
  </w:num>
  <w:num w:numId="13">
    <w:abstractNumId w:val="17"/>
  </w:num>
  <w:num w:numId="14">
    <w:abstractNumId w:val="7"/>
  </w:num>
  <w:num w:numId="15">
    <w:abstractNumId w:val="16"/>
  </w:num>
  <w:num w:numId="16">
    <w:abstractNumId w:val="15"/>
  </w:num>
  <w:num w:numId="17">
    <w:abstractNumId w:val="13"/>
  </w:num>
  <w:num w:numId="18">
    <w:abstractNumId w:val="1"/>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EF"/>
    <w:rsid w:val="000031CC"/>
    <w:rsid w:val="00003907"/>
    <w:rsid w:val="0000797A"/>
    <w:rsid w:val="000079B0"/>
    <w:rsid w:val="000167FF"/>
    <w:rsid w:val="00017490"/>
    <w:rsid w:val="000233D2"/>
    <w:rsid w:val="00026816"/>
    <w:rsid w:val="00036031"/>
    <w:rsid w:val="00036D2B"/>
    <w:rsid w:val="0004118F"/>
    <w:rsid w:val="0004156A"/>
    <w:rsid w:val="0004326D"/>
    <w:rsid w:val="00055035"/>
    <w:rsid w:val="00061AFA"/>
    <w:rsid w:val="00067FE8"/>
    <w:rsid w:val="00080B8A"/>
    <w:rsid w:val="00081B65"/>
    <w:rsid w:val="00085732"/>
    <w:rsid w:val="000928C1"/>
    <w:rsid w:val="00096CCE"/>
    <w:rsid w:val="000A088A"/>
    <w:rsid w:val="000A3609"/>
    <w:rsid w:val="000B4D29"/>
    <w:rsid w:val="000C45D5"/>
    <w:rsid w:val="000F1739"/>
    <w:rsid w:val="000F2FD4"/>
    <w:rsid w:val="001138AE"/>
    <w:rsid w:val="00113C41"/>
    <w:rsid w:val="0011502F"/>
    <w:rsid w:val="00116F24"/>
    <w:rsid w:val="00122E31"/>
    <w:rsid w:val="001249D1"/>
    <w:rsid w:val="00132503"/>
    <w:rsid w:val="001335EB"/>
    <w:rsid w:val="00135967"/>
    <w:rsid w:val="00153536"/>
    <w:rsid w:val="001617F4"/>
    <w:rsid w:val="00165AF4"/>
    <w:rsid w:val="001665BB"/>
    <w:rsid w:val="00167401"/>
    <w:rsid w:val="00171622"/>
    <w:rsid w:val="0017276C"/>
    <w:rsid w:val="00174E31"/>
    <w:rsid w:val="00176E00"/>
    <w:rsid w:val="00182780"/>
    <w:rsid w:val="001A45C4"/>
    <w:rsid w:val="001A6210"/>
    <w:rsid w:val="001A7922"/>
    <w:rsid w:val="001C26A6"/>
    <w:rsid w:val="001C2FAF"/>
    <w:rsid w:val="001D6802"/>
    <w:rsid w:val="001E0465"/>
    <w:rsid w:val="001E2126"/>
    <w:rsid w:val="001E3021"/>
    <w:rsid w:val="001E4B1F"/>
    <w:rsid w:val="001F4641"/>
    <w:rsid w:val="00202AF5"/>
    <w:rsid w:val="0020476C"/>
    <w:rsid w:val="00205E2A"/>
    <w:rsid w:val="00216C96"/>
    <w:rsid w:val="002175BE"/>
    <w:rsid w:val="002206F5"/>
    <w:rsid w:val="002247E1"/>
    <w:rsid w:val="002364BB"/>
    <w:rsid w:val="00252C17"/>
    <w:rsid w:val="00256EAB"/>
    <w:rsid w:val="00261B97"/>
    <w:rsid w:val="00263A74"/>
    <w:rsid w:val="00267F94"/>
    <w:rsid w:val="00286CD0"/>
    <w:rsid w:val="00291E80"/>
    <w:rsid w:val="002A5CE8"/>
    <w:rsid w:val="002B2882"/>
    <w:rsid w:val="002C3C6E"/>
    <w:rsid w:val="002C4E3E"/>
    <w:rsid w:val="002E570E"/>
    <w:rsid w:val="002F19A0"/>
    <w:rsid w:val="002F422E"/>
    <w:rsid w:val="002F479F"/>
    <w:rsid w:val="002F5158"/>
    <w:rsid w:val="00301A25"/>
    <w:rsid w:val="00302FB0"/>
    <w:rsid w:val="00304960"/>
    <w:rsid w:val="003062B3"/>
    <w:rsid w:val="0031153A"/>
    <w:rsid w:val="00313EB9"/>
    <w:rsid w:val="00321588"/>
    <w:rsid w:val="00321AE9"/>
    <w:rsid w:val="00321CAE"/>
    <w:rsid w:val="00336B44"/>
    <w:rsid w:val="00346F66"/>
    <w:rsid w:val="003544F3"/>
    <w:rsid w:val="0036133C"/>
    <w:rsid w:val="00364D17"/>
    <w:rsid w:val="00366789"/>
    <w:rsid w:val="00374697"/>
    <w:rsid w:val="00377241"/>
    <w:rsid w:val="00391EC5"/>
    <w:rsid w:val="003A0730"/>
    <w:rsid w:val="003A2B16"/>
    <w:rsid w:val="003A4A00"/>
    <w:rsid w:val="003C3CC5"/>
    <w:rsid w:val="003C51FD"/>
    <w:rsid w:val="003C619C"/>
    <w:rsid w:val="003C77DC"/>
    <w:rsid w:val="003D0EF3"/>
    <w:rsid w:val="003D20E4"/>
    <w:rsid w:val="003E16AE"/>
    <w:rsid w:val="003E364C"/>
    <w:rsid w:val="003E6C9B"/>
    <w:rsid w:val="003F319E"/>
    <w:rsid w:val="004000A5"/>
    <w:rsid w:val="0040126D"/>
    <w:rsid w:val="00402D4D"/>
    <w:rsid w:val="004036E6"/>
    <w:rsid w:val="00411268"/>
    <w:rsid w:val="004118B6"/>
    <w:rsid w:val="0041333F"/>
    <w:rsid w:val="004166E9"/>
    <w:rsid w:val="004205FD"/>
    <w:rsid w:val="004213C5"/>
    <w:rsid w:val="00425745"/>
    <w:rsid w:val="00436D0E"/>
    <w:rsid w:val="00447229"/>
    <w:rsid w:val="00447733"/>
    <w:rsid w:val="00451577"/>
    <w:rsid w:val="004548A0"/>
    <w:rsid w:val="00454E67"/>
    <w:rsid w:val="00467378"/>
    <w:rsid w:val="004674EC"/>
    <w:rsid w:val="00473B10"/>
    <w:rsid w:val="004815BD"/>
    <w:rsid w:val="004854BC"/>
    <w:rsid w:val="00487DC5"/>
    <w:rsid w:val="0049100A"/>
    <w:rsid w:val="004972F4"/>
    <w:rsid w:val="004A4669"/>
    <w:rsid w:val="004A74C5"/>
    <w:rsid w:val="004B2E24"/>
    <w:rsid w:val="004C338A"/>
    <w:rsid w:val="004C5DC4"/>
    <w:rsid w:val="004D77BC"/>
    <w:rsid w:val="004E3369"/>
    <w:rsid w:val="004E3C33"/>
    <w:rsid w:val="004E55E9"/>
    <w:rsid w:val="004E5DAA"/>
    <w:rsid w:val="004E71C6"/>
    <w:rsid w:val="004F5BAC"/>
    <w:rsid w:val="0050654E"/>
    <w:rsid w:val="00507CC6"/>
    <w:rsid w:val="00510FAD"/>
    <w:rsid w:val="00515843"/>
    <w:rsid w:val="0052187E"/>
    <w:rsid w:val="00524722"/>
    <w:rsid w:val="005278AA"/>
    <w:rsid w:val="00527D3E"/>
    <w:rsid w:val="00534A80"/>
    <w:rsid w:val="00547E58"/>
    <w:rsid w:val="00557601"/>
    <w:rsid w:val="00560E08"/>
    <w:rsid w:val="005614CD"/>
    <w:rsid w:val="00562923"/>
    <w:rsid w:val="005637E8"/>
    <w:rsid w:val="00563F10"/>
    <w:rsid w:val="00566566"/>
    <w:rsid w:val="00592203"/>
    <w:rsid w:val="005A0013"/>
    <w:rsid w:val="005B7B5A"/>
    <w:rsid w:val="005C24A0"/>
    <w:rsid w:val="005E2EBB"/>
    <w:rsid w:val="005E3032"/>
    <w:rsid w:val="005E692B"/>
    <w:rsid w:val="005E70CA"/>
    <w:rsid w:val="005F022D"/>
    <w:rsid w:val="005F14C8"/>
    <w:rsid w:val="005F3FC8"/>
    <w:rsid w:val="00601540"/>
    <w:rsid w:val="00604FDB"/>
    <w:rsid w:val="006103CD"/>
    <w:rsid w:val="006252A9"/>
    <w:rsid w:val="00630672"/>
    <w:rsid w:val="00630BAD"/>
    <w:rsid w:val="00636248"/>
    <w:rsid w:val="00663B6B"/>
    <w:rsid w:val="00663EE4"/>
    <w:rsid w:val="00664B54"/>
    <w:rsid w:val="006652B2"/>
    <w:rsid w:val="00665A84"/>
    <w:rsid w:val="00667D94"/>
    <w:rsid w:val="00672DC2"/>
    <w:rsid w:val="00674F9C"/>
    <w:rsid w:val="00685F9F"/>
    <w:rsid w:val="00686B71"/>
    <w:rsid w:val="00695442"/>
    <w:rsid w:val="00695CD2"/>
    <w:rsid w:val="006A0715"/>
    <w:rsid w:val="006A270D"/>
    <w:rsid w:val="006A7243"/>
    <w:rsid w:val="006C14F3"/>
    <w:rsid w:val="006D3C4A"/>
    <w:rsid w:val="006E4F5C"/>
    <w:rsid w:val="006E5884"/>
    <w:rsid w:val="006F15AB"/>
    <w:rsid w:val="006F1C35"/>
    <w:rsid w:val="00703FC5"/>
    <w:rsid w:val="00717101"/>
    <w:rsid w:val="00720F04"/>
    <w:rsid w:val="007227BF"/>
    <w:rsid w:val="00723171"/>
    <w:rsid w:val="007260E8"/>
    <w:rsid w:val="0073039E"/>
    <w:rsid w:val="00733CAB"/>
    <w:rsid w:val="00740C5C"/>
    <w:rsid w:val="00740FE9"/>
    <w:rsid w:val="0074317B"/>
    <w:rsid w:val="00745FA4"/>
    <w:rsid w:val="00755A10"/>
    <w:rsid w:val="0076290A"/>
    <w:rsid w:val="007638BB"/>
    <w:rsid w:val="00770538"/>
    <w:rsid w:val="007757EF"/>
    <w:rsid w:val="00782D16"/>
    <w:rsid w:val="007943F9"/>
    <w:rsid w:val="007A5BB3"/>
    <w:rsid w:val="007D3BC3"/>
    <w:rsid w:val="007E034B"/>
    <w:rsid w:val="007E2759"/>
    <w:rsid w:val="007E6311"/>
    <w:rsid w:val="007E6DF6"/>
    <w:rsid w:val="007F334B"/>
    <w:rsid w:val="007F57CB"/>
    <w:rsid w:val="00802830"/>
    <w:rsid w:val="00802990"/>
    <w:rsid w:val="00803A03"/>
    <w:rsid w:val="008049E6"/>
    <w:rsid w:val="00810084"/>
    <w:rsid w:val="00813A5C"/>
    <w:rsid w:val="00815115"/>
    <w:rsid w:val="00815334"/>
    <w:rsid w:val="00817287"/>
    <w:rsid w:val="00821F35"/>
    <w:rsid w:val="00824428"/>
    <w:rsid w:val="00824C75"/>
    <w:rsid w:val="008266F1"/>
    <w:rsid w:val="008273B2"/>
    <w:rsid w:val="00827DC0"/>
    <w:rsid w:val="00834CAF"/>
    <w:rsid w:val="00843609"/>
    <w:rsid w:val="00846BD8"/>
    <w:rsid w:val="008470F0"/>
    <w:rsid w:val="008479BA"/>
    <w:rsid w:val="00860E37"/>
    <w:rsid w:val="00861168"/>
    <w:rsid w:val="00863325"/>
    <w:rsid w:val="00864616"/>
    <w:rsid w:val="00866706"/>
    <w:rsid w:val="00876CE9"/>
    <w:rsid w:val="00882FA5"/>
    <w:rsid w:val="00890E4B"/>
    <w:rsid w:val="00892590"/>
    <w:rsid w:val="00892F66"/>
    <w:rsid w:val="00896C5D"/>
    <w:rsid w:val="008A301E"/>
    <w:rsid w:val="008A43D4"/>
    <w:rsid w:val="008A67EA"/>
    <w:rsid w:val="008B00F9"/>
    <w:rsid w:val="008B66B4"/>
    <w:rsid w:val="008C6D73"/>
    <w:rsid w:val="008C71EC"/>
    <w:rsid w:val="008D73D8"/>
    <w:rsid w:val="008E3901"/>
    <w:rsid w:val="008E40C4"/>
    <w:rsid w:val="008F4F50"/>
    <w:rsid w:val="00902E13"/>
    <w:rsid w:val="009154E3"/>
    <w:rsid w:val="009167DF"/>
    <w:rsid w:val="00916B03"/>
    <w:rsid w:val="0092390D"/>
    <w:rsid w:val="00925F07"/>
    <w:rsid w:val="009261EE"/>
    <w:rsid w:val="009300D7"/>
    <w:rsid w:val="00931D30"/>
    <w:rsid w:val="00943A68"/>
    <w:rsid w:val="009443D1"/>
    <w:rsid w:val="00960512"/>
    <w:rsid w:val="00974A28"/>
    <w:rsid w:val="009757F9"/>
    <w:rsid w:val="00977C7D"/>
    <w:rsid w:val="00980AC9"/>
    <w:rsid w:val="00980CB9"/>
    <w:rsid w:val="00982284"/>
    <w:rsid w:val="009835AA"/>
    <w:rsid w:val="00984C70"/>
    <w:rsid w:val="009922EF"/>
    <w:rsid w:val="00994B11"/>
    <w:rsid w:val="009958E6"/>
    <w:rsid w:val="009966B8"/>
    <w:rsid w:val="00997C8E"/>
    <w:rsid w:val="009A0A54"/>
    <w:rsid w:val="009B082E"/>
    <w:rsid w:val="009B22C1"/>
    <w:rsid w:val="009B493D"/>
    <w:rsid w:val="009C36D6"/>
    <w:rsid w:val="009D0513"/>
    <w:rsid w:val="009D58B5"/>
    <w:rsid w:val="009E250F"/>
    <w:rsid w:val="00A05368"/>
    <w:rsid w:val="00A068A0"/>
    <w:rsid w:val="00A0751A"/>
    <w:rsid w:val="00A10855"/>
    <w:rsid w:val="00A15DAE"/>
    <w:rsid w:val="00A1606D"/>
    <w:rsid w:val="00A22534"/>
    <w:rsid w:val="00A301A4"/>
    <w:rsid w:val="00A30982"/>
    <w:rsid w:val="00A31355"/>
    <w:rsid w:val="00A31AF8"/>
    <w:rsid w:val="00A32659"/>
    <w:rsid w:val="00A326A4"/>
    <w:rsid w:val="00A56A5B"/>
    <w:rsid w:val="00A64465"/>
    <w:rsid w:val="00A678F8"/>
    <w:rsid w:val="00A67CC6"/>
    <w:rsid w:val="00A7231D"/>
    <w:rsid w:val="00A73C1E"/>
    <w:rsid w:val="00A84EC6"/>
    <w:rsid w:val="00A942A4"/>
    <w:rsid w:val="00AA19C1"/>
    <w:rsid w:val="00AA2AA2"/>
    <w:rsid w:val="00AA44CC"/>
    <w:rsid w:val="00AB41FD"/>
    <w:rsid w:val="00AB683A"/>
    <w:rsid w:val="00AC0F77"/>
    <w:rsid w:val="00AC3FB9"/>
    <w:rsid w:val="00AD4CCB"/>
    <w:rsid w:val="00AD76C8"/>
    <w:rsid w:val="00AE1065"/>
    <w:rsid w:val="00AE54A0"/>
    <w:rsid w:val="00AE6578"/>
    <w:rsid w:val="00AE7C6C"/>
    <w:rsid w:val="00AF2614"/>
    <w:rsid w:val="00AF2B63"/>
    <w:rsid w:val="00B04D25"/>
    <w:rsid w:val="00B07300"/>
    <w:rsid w:val="00B10FD1"/>
    <w:rsid w:val="00B1159A"/>
    <w:rsid w:val="00B1647E"/>
    <w:rsid w:val="00B16CFA"/>
    <w:rsid w:val="00B25C28"/>
    <w:rsid w:val="00B40654"/>
    <w:rsid w:val="00B4314B"/>
    <w:rsid w:val="00B50FA1"/>
    <w:rsid w:val="00B60330"/>
    <w:rsid w:val="00B6512A"/>
    <w:rsid w:val="00B66919"/>
    <w:rsid w:val="00B67860"/>
    <w:rsid w:val="00B75FB4"/>
    <w:rsid w:val="00B874DE"/>
    <w:rsid w:val="00B9028E"/>
    <w:rsid w:val="00B91B05"/>
    <w:rsid w:val="00B935BB"/>
    <w:rsid w:val="00B93825"/>
    <w:rsid w:val="00BA7277"/>
    <w:rsid w:val="00BB3A55"/>
    <w:rsid w:val="00BC13C5"/>
    <w:rsid w:val="00BD200E"/>
    <w:rsid w:val="00BE3450"/>
    <w:rsid w:val="00BF4DDE"/>
    <w:rsid w:val="00BF7369"/>
    <w:rsid w:val="00C03246"/>
    <w:rsid w:val="00C03ED2"/>
    <w:rsid w:val="00C1707D"/>
    <w:rsid w:val="00C20440"/>
    <w:rsid w:val="00C20E34"/>
    <w:rsid w:val="00C212AA"/>
    <w:rsid w:val="00C21F41"/>
    <w:rsid w:val="00C24507"/>
    <w:rsid w:val="00C278C9"/>
    <w:rsid w:val="00C328A1"/>
    <w:rsid w:val="00C40F78"/>
    <w:rsid w:val="00C439A6"/>
    <w:rsid w:val="00C503CA"/>
    <w:rsid w:val="00C55A2E"/>
    <w:rsid w:val="00C60FD9"/>
    <w:rsid w:val="00C628DB"/>
    <w:rsid w:val="00C64112"/>
    <w:rsid w:val="00C672C8"/>
    <w:rsid w:val="00C70BAA"/>
    <w:rsid w:val="00C72E9C"/>
    <w:rsid w:val="00C74554"/>
    <w:rsid w:val="00C75C7E"/>
    <w:rsid w:val="00C764B6"/>
    <w:rsid w:val="00C87511"/>
    <w:rsid w:val="00C90C88"/>
    <w:rsid w:val="00CA0661"/>
    <w:rsid w:val="00CA1DA1"/>
    <w:rsid w:val="00CB5838"/>
    <w:rsid w:val="00CC01B9"/>
    <w:rsid w:val="00CD577A"/>
    <w:rsid w:val="00CD6EE7"/>
    <w:rsid w:val="00CD7CE6"/>
    <w:rsid w:val="00CE41F3"/>
    <w:rsid w:val="00CF1CCD"/>
    <w:rsid w:val="00CF2EF4"/>
    <w:rsid w:val="00CF632C"/>
    <w:rsid w:val="00D144EE"/>
    <w:rsid w:val="00D14D26"/>
    <w:rsid w:val="00D27FB5"/>
    <w:rsid w:val="00D306D6"/>
    <w:rsid w:val="00D34565"/>
    <w:rsid w:val="00D5021F"/>
    <w:rsid w:val="00D57276"/>
    <w:rsid w:val="00D67CBF"/>
    <w:rsid w:val="00D731FD"/>
    <w:rsid w:val="00D7614E"/>
    <w:rsid w:val="00D80121"/>
    <w:rsid w:val="00D82665"/>
    <w:rsid w:val="00D85ADA"/>
    <w:rsid w:val="00D95E27"/>
    <w:rsid w:val="00DA0F27"/>
    <w:rsid w:val="00DA2994"/>
    <w:rsid w:val="00DA5B4E"/>
    <w:rsid w:val="00DA6BCF"/>
    <w:rsid w:val="00DA7CF5"/>
    <w:rsid w:val="00DB5E61"/>
    <w:rsid w:val="00DB6139"/>
    <w:rsid w:val="00DB6A85"/>
    <w:rsid w:val="00DC1E99"/>
    <w:rsid w:val="00DD1D08"/>
    <w:rsid w:val="00DD2934"/>
    <w:rsid w:val="00DD6E42"/>
    <w:rsid w:val="00DE220D"/>
    <w:rsid w:val="00DE39EC"/>
    <w:rsid w:val="00DE49C7"/>
    <w:rsid w:val="00DE5DFD"/>
    <w:rsid w:val="00DE5F00"/>
    <w:rsid w:val="00DE60A5"/>
    <w:rsid w:val="00DF010E"/>
    <w:rsid w:val="00DF0118"/>
    <w:rsid w:val="00DF46F7"/>
    <w:rsid w:val="00DF6E5A"/>
    <w:rsid w:val="00DF7405"/>
    <w:rsid w:val="00E045A1"/>
    <w:rsid w:val="00E108B5"/>
    <w:rsid w:val="00E272A4"/>
    <w:rsid w:val="00E30006"/>
    <w:rsid w:val="00E331AE"/>
    <w:rsid w:val="00E3612D"/>
    <w:rsid w:val="00E40D7C"/>
    <w:rsid w:val="00E430DE"/>
    <w:rsid w:val="00E47397"/>
    <w:rsid w:val="00E50648"/>
    <w:rsid w:val="00E55E27"/>
    <w:rsid w:val="00E563DA"/>
    <w:rsid w:val="00E67100"/>
    <w:rsid w:val="00E7007D"/>
    <w:rsid w:val="00E7093D"/>
    <w:rsid w:val="00E75C90"/>
    <w:rsid w:val="00E81071"/>
    <w:rsid w:val="00E81373"/>
    <w:rsid w:val="00E87E44"/>
    <w:rsid w:val="00EA1EF5"/>
    <w:rsid w:val="00EA277E"/>
    <w:rsid w:val="00EA7418"/>
    <w:rsid w:val="00EB2256"/>
    <w:rsid w:val="00EB5332"/>
    <w:rsid w:val="00EC183A"/>
    <w:rsid w:val="00EC1903"/>
    <w:rsid w:val="00EC2047"/>
    <w:rsid w:val="00EC7CAF"/>
    <w:rsid w:val="00ED1F63"/>
    <w:rsid w:val="00ED42F1"/>
    <w:rsid w:val="00EE3133"/>
    <w:rsid w:val="00EE332A"/>
    <w:rsid w:val="00EE64CA"/>
    <w:rsid w:val="00EF1ED5"/>
    <w:rsid w:val="00F05EB8"/>
    <w:rsid w:val="00F15662"/>
    <w:rsid w:val="00F176DA"/>
    <w:rsid w:val="00F57CC0"/>
    <w:rsid w:val="00F61CB1"/>
    <w:rsid w:val="00F64FB6"/>
    <w:rsid w:val="00F67DD0"/>
    <w:rsid w:val="00F746E8"/>
    <w:rsid w:val="00F75E2E"/>
    <w:rsid w:val="00F80078"/>
    <w:rsid w:val="00F815D6"/>
    <w:rsid w:val="00F94C8D"/>
    <w:rsid w:val="00F96C1A"/>
    <w:rsid w:val="00FB0F05"/>
    <w:rsid w:val="00FB56CB"/>
    <w:rsid w:val="00FB6B60"/>
    <w:rsid w:val="00FB7465"/>
    <w:rsid w:val="00FC5755"/>
    <w:rsid w:val="00FD4044"/>
    <w:rsid w:val="00FE0C37"/>
    <w:rsid w:val="00FE18F2"/>
    <w:rsid w:val="00FF2D03"/>
    <w:rsid w:val="019CBCA7"/>
    <w:rsid w:val="06852366"/>
    <w:rsid w:val="32DC1B58"/>
    <w:rsid w:val="700CF4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76039"/>
  <w15:chartTrackingRefBased/>
  <w15:docId w15:val="{AEDFE876-455F-4951-A0AC-2922A2E6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E6D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semiHidden/>
    <w:unhideWhenUsed/>
    <w:rsid w:val="007757EF"/>
    <w:rPr>
      <w:sz w:val="16"/>
      <w:szCs w:val="16"/>
    </w:rPr>
  </w:style>
  <w:style w:type="paragraph" w:styleId="CommentText">
    <w:name w:val="annotation text"/>
    <w:basedOn w:val="Normal"/>
    <w:link w:val="CommentTextChar"/>
    <w:uiPriority w:val="99"/>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 w:type="paragraph" w:styleId="NormalWeb">
    <w:name w:val="Normal (Web)"/>
    <w:basedOn w:val="Normal"/>
    <w:uiPriority w:val="99"/>
    <w:semiHidden/>
    <w:unhideWhenUsed/>
    <w:rsid w:val="00C40F78"/>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7E6DF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1220">
      <w:bodyDiv w:val="1"/>
      <w:marLeft w:val="0"/>
      <w:marRight w:val="0"/>
      <w:marTop w:val="0"/>
      <w:marBottom w:val="0"/>
      <w:divBdr>
        <w:top w:val="none" w:sz="0" w:space="0" w:color="auto"/>
        <w:left w:val="none" w:sz="0" w:space="0" w:color="auto"/>
        <w:bottom w:val="none" w:sz="0" w:space="0" w:color="auto"/>
        <w:right w:val="none" w:sz="0" w:space="0" w:color="auto"/>
      </w:divBdr>
    </w:div>
    <w:div w:id="82533176">
      <w:bodyDiv w:val="1"/>
      <w:marLeft w:val="0"/>
      <w:marRight w:val="0"/>
      <w:marTop w:val="0"/>
      <w:marBottom w:val="0"/>
      <w:divBdr>
        <w:top w:val="none" w:sz="0" w:space="0" w:color="auto"/>
        <w:left w:val="none" w:sz="0" w:space="0" w:color="auto"/>
        <w:bottom w:val="none" w:sz="0" w:space="0" w:color="auto"/>
        <w:right w:val="none" w:sz="0" w:space="0" w:color="auto"/>
      </w:divBdr>
    </w:div>
    <w:div w:id="98112751">
      <w:bodyDiv w:val="1"/>
      <w:marLeft w:val="0"/>
      <w:marRight w:val="0"/>
      <w:marTop w:val="0"/>
      <w:marBottom w:val="0"/>
      <w:divBdr>
        <w:top w:val="none" w:sz="0" w:space="0" w:color="auto"/>
        <w:left w:val="none" w:sz="0" w:space="0" w:color="auto"/>
        <w:bottom w:val="none" w:sz="0" w:space="0" w:color="auto"/>
        <w:right w:val="none" w:sz="0" w:space="0" w:color="auto"/>
      </w:divBdr>
    </w:div>
    <w:div w:id="117189701">
      <w:bodyDiv w:val="1"/>
      <w:marLeft w:val="0"/>
      <w:marRight w:val="0"/>
      <w:marTop w:val="0"/>
      <w:marBottom w:val="0"/>
      <w:divBdr>
        <w:top w:val="none" w:sz="0" w:space="0" w:color="auto"/>
        <w:left w:val="none" w:sz="0" w:space="0" w:color="auto"/>
        <w:bottom w:val="none" w:sz="0" w:space="0" w:color="auto"/>
        <w:right w:val="none" w:sz="0" w:space="0" w:color="auto"/>
      </w:divBdr>
    </w:div>
    <w:div w:id="150563169">
      <w:bodyDiv w:val="1"/>
      <w:marLeft w:val="0"/>
      <w:marRight w:val="0"/>
      <w:marTop w:val="0"/>
      <w:marBottom w:val="0"/>
      <w:divBdr>
        <w:top w:val="none" w:sz="0" w:space="0" w:color="auto"/>
        <w:left w:val="none" w:sz="0" w:space="0" w:color="auto"/>
        <w:bottom w:val="none" w:sz="0" w:space="0" w:color="auto"/>
        <w:right w:val="none" w:sz="0" w:space="0" w:color="auto"/>
      </w:divBdr>
    </w:div>
    <w:div w:id="281805519">
      <w:bodyDiv w:val="1"/>
      <w:marLeft w:val="0"/>
      <w:marRight w:val="0"/>
      <w:marTop w:val="0"/>
      <w:marBottom w:val="0"/>
      <w:divBdr>
        <w:top w:val="none" w:sz="0" w:space="0" w:color="auto"/>
        <w:left w:val="none" w:sz="0" w:space="0" w:color="auto"/>
        <w:bottom w:val="none" w:sz="0" w:space="0" w:color="auto"/>
        <w:right w:val="none" w:sz="0" w:space="0" w:color="auto"/>
      </w:divBdr>
    </w:div>
    <w:div w:id="361513500">
      <w:bodyDiv w:val="1"/>
      <w:marLeft w:val="0"/>
      <w:marRight w:val="0"/>
      <w:marTop w:val="0"/>
      <w:marBottom w:val="0"/>
      <w:divBdr>
        <w:top w:val="none" w:sz="0" w:space="0" w:color="auto"/>
        <w:left w:val="none" w:sz="0" w:space="0" w:color="auto"/>
        <w:bottom w:val="none" w:sz="0" w:space="0" w:color="auto"/>
        <w:right w:val="none" w:sz="0" w:space="0" w:color="auto"/>
      </w:divBdr>
    </w:div>
    <w:div w:id="459225828">
      <w:bodyDiv w:val="1"/>
      <w:marLeft w:val="0"/>
      <w:marRight w:val="0"/>
      <w:marTop w:val="0"/>
      <w:marBottom w:val="0"/>
      <w:divBdr>
        <w:top w:val="none" w:sz="0" w:space="0" w:color="auto"/>
        <w:left w:val="none" w:sz="0" w:space="0" w:color="auto"/>
        <w:bottom w:val="none" w:sz="0" w:space="0" w:color="auto"/>
        <w:right w:val="none" w:sz="0" w:space="0" w:color="auto"/>
      </w:divBdr>
    </w:div>
    <w:div w:id="558638551">
      <w:bodyDiv w:val="1"/>
      <w:marLeft w:val="0"/>
      <w:marRight w:val="0"/>
      <w:marTop w:val="0"/>
      <w:marBottom w:val="0"/>
      <w:divBdr>
        <w:top w:val="none" w:sz="0" w:space="0" w:color="auto"/>
        <w:left w:val="none" w:sz="0" w:space="0" w:color="auto"/>
        <w:bottom w:val="none" w:sz="0" w:space="0" w:color="auto"/>
        <w:right w:val="none" w:sz="0" w:space="0" w:color="auto"/>
      </w:divBdr>
    </w:div>
    <w:div w:id="674264536">
      <w:bodyDiv w:val="1"/>
      <w:marLeft w:val="0"/>
      <w:marRight w:val="0"/>
      <w:marTop w:val="0"/>
      <w:marBottom w:val="0"/>
      <w:divBdr>
        <w:top w:val="none" w:sz="0" w:space="0" w:color="auto"/>
        <w:left w:val="none" w:sz="0" w:space="0" w:color="auto"/>
        <w:bottom w:val="none" w:sz="0" w:space="0" w:color="auto"/>
        <w:right w:val="none" w:sz="0" w:space="0" w:color="auto"/>
      </w:divBdr>
      <w:divsChild>
        <w:div w:id="1806388787">
          <w:marLeft w:val="0"/>
          <w:marRight w:val="0"/>
          <w:marTop w:val="0"/>
          <w:marBottom w:val="0"/>
          <w:divBdr>
            <w:top w:val="none" w:sz="0" w:space="0" w:color="auto"/>
            <w:left w:val="none" w:sz="0" w:space="0" w:color="auto"/>
            <w:bottom w:val="none" w:sz="0" w:space="0" w:color="auto"/>
            <w:right w:val="none" w:sz="0" w:space="0" w:color="auto"/>
          </w:divBdr>
          <w:divsChild>
            <w:div w:id="836461958">
              <w:marLeft w:val="0"/>
              <w:marRight w:val="0"/>
              <w:marTop w:val="0"/>
              <w:marBottom w:val="0"/>
              <w:divBdr>
                <w:top w:val="none" w:sz="0" w:space="0" w:color="auto"/>
                <w:left w:val="none" w:sz="0" w:space="0" w:color="auto"/>
                <w:bottom w:val="none" w:sz="0" w:space="0" w:color="auto"/>
                <w:right w:val="none" w:sz="0" w:space="0" w:color="auto"/>
              </w:divBdr>
              <w:divsChild>
                <w:div w:id="1194877363">
                  <w:marLeft w:val="0"/>
                  <w:marRight w:val="0"/>
                  <w:marTop w:val="0"/>
                  <w:marBottom w:val="0"/>
                  <w:divBdr>
                    <w:top w:val="none" w:sz="0" w:space="0" w:color="auto"/>
                    <w:left w:val="none" w:sz="0" w:space="0" w:color="auto"/>
                    <w:bottom w:val="none" w:sz="0" w:space="0" w:color="auto"/>
                    <w:right w:val="none" w:sz="0" w:space="0" w:color="auto"/>
                  </w:divBdr>
                  <w:divsChild>
                    <w:div w:id="1955212850">
                      <w:marLeft w:val="0"/>
                      <w:marRight w:val="0"/>
                      <w:marTop w:val="0"/>
                      <w:marBottom w:val="0"/>
                      <w:divBdr>
                        <w:top w:val="none" w:sz="0" w:space="0" w:color="auto"/>
                        <w:left w:val="none" w:sz="0" w:space="0" w:color="auto"/>
                        <w:bottom w:val="none" w:sz="0" w:space="0" w:color="auto"/>
                        <w:right w:val="none" w:sz="0" w:space="0" w:color="auto"/>
                      </w:divBdr>
                      <w:divsChild>
                        <w:div w:id="1466507903">
                          <w:marLeft w:val="0"/>
                          <w:marRight w:val="0"/>
                          <w:marTop w:val="0"/>
                          <w:marBottom w:val="0"/>
                          <w:divBdr>
                            <w:top w:val="none" w:sz="0" w:space="0" w:color="auto"/>
                            <w:left w:val="none" w:sz="0" w:space="0" w:color="auto"/>
                            <w:bottom w:val="none" w:sz="0" w:space="0" w:color="auto"/>
                            <w:right w:val="none" w:sz="0" w:space="0" w:color="auto"/>
                          </w:divBdr>
                          <w:divsChild>
                            <w:div w:id="1923879089">
                              <w:marLeft w:val="0"/>
                              <w:marRight w:val="0"/>
                              <w:marTop w:val="0"/>
                              <w:marBottom w:val="0"/>
                              <w:divBdr>
                                <w:top w:val="none" w:sz="0" w:space="0" w:color="auto"/>
                                <w:left w:val="none" w:sz="0" w:space="0" w:color="auto"/>
                                <w:bottom w:val="none" w:sz="0" w:space="0" w:color="auto"/>
                                <w:right w:val="none" w:sz="0" w:space="0" w:color="auto"/>
                              </w:divBdr>
                              <w:divsChild>
                                <w:div w:id="491215244">
                                  <w:marLeft w:val="0"/>
                                  <w:marRight w:val="0"/>
                                  <w:marTop w:val="0"/>
                                  <w:marBottom w:val="0"/>
                                  <w:divBdr>
                                    <w:top w:val="none" w:sz="0" w:space="0" w:color="auto"/>
                                    <w:left w:val="none" w:sz="0" w:space="0" w:color="auto"/>
                                    <w:bottom w:val="none" w:sz="0" w:space="0" w:color="auto"/>
                                    <w:right w:val="none" w:sz="0" w:space="0" w:color="auto"/>
                                  </w:divBdr>
                                  <w:divsChild>
                                    <w:div w:id="7471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94467">
      <w:bodyDiv w:val="1"/>
      <w:marLeft w:val="0"/>
      <w:marRight w:val="0"/>
      <w:marTop w:val="0"/>
      <w:marBottom w:val="0"/>
      <w:divBdr>
        <w:top w:val="none" w:sz="0" w:space="0" w:color="auto"/>
        <w:left w:val="none" w:sz="0" w:space="0" w:color="auto"/>
        <w:bottom w:val="none" w:sz="0" w:space="0" w:color="auto"/>
        <w:right w:val="none" w:sz="0" w:space="0" w:color="auto"/>
      </w:divBdr>
      <w:divsChild>
        <w:div w:id="88473975">
          <w:marLeft w:val="0"/>
          <w:marRight w:val="0"/>
          <w:marTop w:val="0"/>
          <w:marBottom w:val="0"/>
          <w:divBdr>
            <w:top w:val="none" w:sz="0" w:space="0" w:color="auto"/>
            <w:left w:val="none" w:sz="0" w:space="0" w:color="auto"/>
            <w:bottom w:val="none" w:sz="0" w:space="0" w:color="auto"/>
            <w:right w:val="none" w:sz="0" w:space="0" w:color="auto"/>
          </w:divBdr>
          <w:divsChild>
            <w:div w:id="1816951300">
              <w:marLeft w:val="0"/>
              <w:marRight w:val="0"/>
              <w:marTop w:val="0"/>
              <w:marBottom w:val="0"/>
              <w:divBdr>
                <w:top w:val="none" w:sz="0" w:space="0" w:color="auto"/>
                <w:left w:val="none" w:sz="0" w:space="0" w:color="auto"/>
                <w:bottom w:val="none" w:sz="0" w:space="0" w:color="auto"/>
                <w:right w:val="none" w:sz="0" w:space="0" w:color="auto"/>
              </w:divBdr>
              <w:divsChild>
                <w:div w:id="1171020199">
                  <w:marLeft w:val="0"/>
                  <w:marRight w:val="0"/>
                  <w:marTop w:val="0"/>
                  <w:marBottom w:val="0"/>
                  <w:divBdr>
                    <w:top w:val="none" w:sz="0" w:space="0" w:color="auto"/>
                    <w:left w:val="none" w:sz="0" w:space="0" w:color="auto"/>
                    <w:bottom w:val="none" w:sz="0" w:space="0" w:color="auto"/>
                    <w:right w:val="none" w:sz="0" w:space="0" w:color="auto"/>
                  </w:divBdr>
                  <w:divsChild>
                    <w:div w:id="1361127292">
                      <w:marLeft w:val="0"/>
                      <w:marRight w:val="0"/>
                      <w:marTop w:val="0"/>
                      <w:marBottom w:val="0"/>
                      <w:divBdr>
                        <w:top w:val="none" w:sz="0" w:space="0" w:color="auto"/>
                        <w:left w:val="none" w:sz="0" w:space="0" w:color="auto"/>
                        <w:bottom w:val="none" w:sz="0" w:space="0" w:color="auto"/>
                        <w:right w:val="none" w:sz="0" w:space="0" w:color="auto"/>
                      </w:divBdr>
                      <w:divsChild>
                        <w:div w:id="1908302203">
                          <w:marLeft w:val="0"/>
                          <w:marRight w:val="0"/>
                          <w:marTop w:val="0"/>
                          <w:marBottom w:val="0"/>
                          <w:divBdr>
                            <w:top w:val="none" w:sz="0" w:space="0" w:color="auto"/>
                            <w:left w:val="none" w:sz="0" w:space="0" w:color="auto"/>
                            <w:bottom w:val="none" w:sz="0" w:space="0" w:color="auto"/>
                            <w:right w:val="none" w:sz="0" w:space="0" w:color="auto"/>
                          </w:divBdr>
                          <w:divsChild>
                            <w:div w:id="386883403">
                              <w:marLeft w:val="0"/>
                              <w:marRight w:val="0"/>
                              <w:marTop w:val="0"/>
                              <w:marBottom w:val="0"/>
                              <w:divBdr>
                                <w:top w:val="none" w:sz="0" w:space="0" w:color="auto"/>
                                <w:left w:val="none" w:sz="0" w:space="0" w:color="auto"/>
                                <w:bottom w:val="none" w:sz="0" w:space="0" w:color="auto"/>
                                <w:right w:val="none" w:sz="0" w:space="0" w:color="auto"/>
                              </w:divBdr>
                              <w:divsChild>
                                <w:div w:id="543978928">
                                  <w:marLeft w:val="0"/>
                                  <w:marRight w:val="0"/>
                                  <w:marTop w:val="0"/>
                                  <w:marBottom w:val="0"/>
                                  <w:divBdr>
                                    <w:top w:val="none" w:sz="0" w:space="0" w:color="auto"/>
                                    <w:left w:val="none" w:sz="0" w:space="0" w:color="auto"/>
                                    <w:bottom w:val="none" w:sz="0" w:space="0" w:color="auto"/>
                                    <w:right w:val="none" w:sz="0" w:space="0" w:color="auto"/>
                                  </w:divBdr>
                                  <w:divsChild>
                                    <w:div w:id="3373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678149">
      <w:bodyDiv w:val="1"/>
      <w:marLeft w:val="0"/>
      <w:marRight w:val="0"/>
      <w:marTop w:val="0"/>
      <w:marBottom w:val="0"/>
      <w:divBdr>
        <w:top w:val="none" w:sz="0" w:space="0" w:color="auto"/>
        <w:left w:val="none" w:sz="0" w:space="0" w:color="auto"/>
        <w:bottom w:val="none" w:sz="0" w:space="0" w:color="auto"/>
        <w:right w:val="none" w:sz="0" w:space="0" w:color="auto"/>
      </w:divBdr>
    </w:div>
    <w:div w:id="949553901">
      <w:bodyDiv w:val="1"/>
      <w:marLeft w:val="0"/>
      <w:marRight w:val="0"/>
      <w:marTop w:val="0"/>
      <w:marBottom w:val="0"/>
      <w:divBdr>
        <w:top w:val="none" w:sz="0" w:space="0" w:color="auto"/>
        <w:left w:val="none" w:sz="0" w:space="0" w:color="auto"/>
        <w:bottom w:val="none" w:sz="0" w:space="0" w:color="auto"/>
        <w:right w:val="none" w:sz="0" w:space="0" w:color="auto"/>
      </w:divBdr>
    </w:div>
    <w:div w:id="1007756717">
      <w:bodyDiv w:val="1"/>
      <w:marLeft w:val="0"/>
      <w:marRight w:val="0"/>
      <w:marTop w:val="0"/>
      <w:marBottom w:val="0"/>
      <w:divBdr>
        <w:top w:val="none" w:sz="0" w:space="0" w:color="auto"/>
        <w:left w:val="none" w:sz="0" w:space="0" w:color="auto"/>
        <w:bottom w:val="none" w:sz="0" w:space="0" w:color="auto"/>
        <w:right w:val="none" w:sz="0" w:space="0" w:color="auto"/>
      </w:divBdr>
      <w:divsChild>
        <w:div w:id="465127197">
          <w:marLeft w:val="0"/>
          <w:marRight w:val="0"/>
          <w:marTop w:val="0"/>
          <w:marBottom w:val="0"/>
          <w:divBdr>
            <w:top w:val="none" w:sz="0" w:space="0" w:color="auto"/>
            <w:left w:val="none" w:sz="0" w:space="0" w:color="auto"/>
            <w:bottom w:val="none" w:sz="0" w:space="0" w:color="auto"/>
            <w:right w:val="none" w:sz="0" w:space="0" w:color="auto"/>
          </w:divBdr>
          <w:divsChild>
            <w:div w:id="1643150669">
              <w:marLeft w:val="0"/>
              <w:marRight w:val="0"/>
              <w:marTop w:val="0"/>
              <w:marBottom w:val="0"/>
              <w:divBdr>
                <w:top w:val="none" w:sz="0" w:space="0" w:color="auto"/>
                <w:left w:val="none" w:sz="0" w:space="0" w:color="auto"/>
                <w:bottom w:val="none" w:sz="0" w:space="0" w:color="auto"/>
                <w:right w:val="none" w:sz="0" w:space="0" w:color="auto"/>
              </w:divBdr>
              <w:divsChild>
                <w:div w:id="1002976732">
                  <w:marLeft w:val="0"/>
                  <w:marRight w:val="0"/>
                  <w:marTop w:val="0"/>
                  <w:marBottom w:val="0"/>
                  <w:divBdr>
                    <w:top w:val="none" w:sz="0" w:space="0" w:color="auto"/>
                    <w:left w:val="none" w:sz="0" w:space="0" w:color="auto"/>
                    <w:bottom w:val="none" w:sz="0" w:space="0" w:color="auto"/>
                    <w:right w:val="none" w:sz="0" w:space="0" w:color="auto"/>
                  </w:divBdr>
                  <w:divsChild>
                    <w:div w:id="1002971754">
                      <w:marLeft w:val="0"/>
                      <w:marRight w:val="0"/>
                      <w:marTop w:val="0"/>
                      <w:marBottom w:val="0"/>
                      <w:divBdr>
                        <w:top w:val="none" w:sz="0" w:space="0" w:color="auto"/>
                        <w:left w:val="none" w:sz="0" w:space="0" w:color="auto"/>
                        <w:bottom w:val="none" w:sz="0" w:space="0" w:color="auto"/>
                        <w:right w:val="none" w:sz="0" w:space="0" w:color="auto"/>
                      </w:divBdr>
                      <w:divsChild>
                        <w:div w:id="483546426">
                          <w:marLeft w:val="0"/>
                          <w:marRight w:val="0"/>
                          <w:marTop w:val="0"/>
                          <w:marBottom w:val="0"/>
                          <w:divBdr>
                            <w:top w:val="none" w:sz="0" w:space="0" w:color="auto"/>
                            <w:left w:val="none" w:sz="0" w:space="0" w:color="auto"/>
                            <w:bottom w:val="none" w:sz="0" w:space="0" w:color="auto"/>
                            <w:right w:val="none" w:sz="0" w:space="0" w:color="auto"/>
                          </w:divBdr>
                          <w:divsChild>
                            <w:div w:id="2020548130">
                              <w:marLeft w:val="0"/>
                              <w:marRight w:val="0"/>
                              <w:marTop w:val="0"/>
                              <w:marBottom w:val="0"/>
                              <w:divBdr>
                                <w:top w:val="none" w:sz="0" w:space="0" w:color="auto"/>
                                <w:left w:val="none" w:sz="0" w:space="0" w:color="auto"/>
                                <w:bottom w:val="none" w:sz="0" w:space="0" w:color="auto"/>
                                <w:right w:val="none" w:sz="0" w:space="0" w:color="auto"/>
                              </w:divBdr>
                              <w:divsChild>
                                <w:div w:id="1067731583">
                                  <w:marLeft w:val="0"/>
                                  <w:marRight w:val="0"/>
                                  <w:marTop w:val="0"/>
                                  <w:marBottom w:val="0"/>
                                  <w:divBdr>
                                    <w:top w:val="none" w:sz="0" w:space="0" w:color="auto"/>
                                    <w:left w:val="none" w:sz="0" w:space="0" w:color="auto"/>
                                    <w:bottom w:val="none" w:sz="0" w:space="0" w:color="auto"/>
                                    <w:right w:val="none" w:sz="0" w:space="0" w:color="auto"/>
                                  </w:divBdr>
                                  <w:divsChild>
                                    <w:div w:id="6528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7136">
      <w:bodyDiv w:val="1"/>
      <w:marLeft w:val="0"/>
      <w:marRight w:val="0"/>
      <w:marTop w:val="0"/>
      <w:marBottom w:val="0"/>
      <w:divBdr>
        <w:top w:val="none" w:sz="0" w:space="0" w:color="auto"/>
        <w:left w:val="none" w:sz="0" w:space="0" w:color="auto"/>
        <w:bottom w:val="none" w:sz="0" w:space="0" w:color="auto"/>
        <w:right w:val="none" w:sz="0" w:space="0" w:color="auto"/>
      </w:divBdr>
    </w:div>
    <w:div w:id="1037314755">
      <w:bodyDiv w:val="1"/>
      <w:marLeft w:val="0"/>
      <w:marRight w:val="0"/>
      <w:marTop w:val="0"/>
      <w:marBottom w:val="0"/>
      <w:divBdr>
        <w:top w:val="none" w:sz="0" w:space="0" w:color="auto"/>
        <w:left w:val="none" w:sz="0" w:space="0" w:color="auto"/>
        <w:bottom w:val="none" w:sz="0" w:space="0" w:color="auto"/>
        <w:right w:val="none" w:sz="0" w:space="0" w:color="auto"/>
      </w:divBdr>
    </w:div>
    <w:div w:id="1187018356">
      <w:bodyDiv w:val="1"/>
      <w:marLeft w:val="0"/>
      <w:marRight w:val="0"/>
      <w:marTop w:val="0"/>
      <w:marBottom w:val="0"/>
      <w:divBdr>
        <w:top w:val="none" w:sz="0" w:space="0" w:color="auto"/>
        <w:left w:val="none" w:sz="0" w:space="0" w:color="auto"/>
        <w:bottom w:val="none" w:sz="0" w:space="0" w:color="auto"/>
        <w:right w:val="none" w:sz="0" w:space="0" w:color="auto"/>
      </w:divBdr>
    </w:div>
    <w:div w:id="1189638051">
      <w:bodyDiv w:val="1"/>
      <w:marLeft w:val="0"/>
      <w:marRight w:val="0"/>
      <w:marTop w:val="0"/>
      <w:marBottom w:val="0"/>
      <w:divBdr>
        <w:top w:val="none" w:sz="0" w:space="0" w:color="auto"/>
        <w:left w:val="none" w:sz="0" w:space="0" w:color="auto"/>
        <w:bottom w:val="none" w:sz="0" w:space="0" w:color="auto"/>
        <w:right w:val="none" w:sz="0" w:space="0" w:color="auto"/>
      </w:divBdr>
    </w:div>
    <w:div w:id="1231577273">
      <w:bodyDiv w:val="1"/>
      <w:marLeft w:val="0"/>
      <w:marRight w:val="0"/>
      <w:marTop w:val="0"/>
      <w:marBottom w:val="0"/>
      <w:divBdr>
        <w:top w:val="none" w:sz="0" w:space="0" w:color="auto"/>
        <w:left w:val="none" w:sz="0" w:space="0" w:color="auto"/>
        <w:bottom w:val="none" w:sz="0" w:space="0" w:color="auto"/>
        <w:right w:val="none" w:sz="0" w:space="0" w:color="auto"/>
      </w:divBdr>
    </w:div>
    <w:div w:id="1324310666">
      <w:bodyDiv w:val="1"/>
      <w:marLeft w:val="0"/>
      <w:marRight w:val="0"/>
      <w:marTop w:val="0"/>
      <w:marBottom w:val="0"/>
      <w:divBdr>
        <w:top w:val="none" w:sz="0" w:space="0" w:color="auto"/>
        <w:left w:val="none" w:sz="0" w:space="0" w:color="auto"/>
        <w:bottom w:val="none" w:sz="0" w:space="0" w:color="auto"/>
        <w:right w:val="none" w:sz="0" w:space="0" w:color="auto"/>
      </w:divBdr>
    </w:div>
    <w:div w:id="1360929948">
      <w:bodyDiv w:val="1"/>
      <w:marLeft w:val="0"/>
      <w:marRight w:val="0"/>
      <w:marTop w:val="0"/>
      <w:marBottom w:val="0"/>
      <w:divBdr>
        <w:top w:val="none" w:sz="0" w:space="0" w:color="auto"/>
        <w:left w:val="none" w:sz="0" w:space="0" w:color="auto"/>
        <w:bottom w:val="none" w:sz="0" w:space="0" w:color="auto"/>
        <w:right w:val="none" w:sz="0" w:space="0" w:color="auto"/>
      </w:divBdr>
    </w:div>
    <w:div w:id="1414664567">
      <w:bodyDiv w:val="1"/>
      <w:marLeft w:val="0"/>
      <w:marRight w:val="0"/>
      <w:marTop w:val="0"/>
      <w:marBottom w:val="0"/>
      <w:divBdr>
        <w:top w:val="none" w:sz="0" w:space="0" w:color="auto"/>
        <w:left w:val="none" w:sz="0" w:space="0" w:color="auto"/>
        <w:bottom w:val="none" w:sz="0" w:space="0" w:color="auto"/>
        <w:right w:val="none" w:sz="0" w:space="0" w:color="auto"/>
      </w:divBdr>
    </w:div>
    <w:div w:id="1666006769">
      <w:bodyDiv w:val="1"/>
      <w:marLeft w:val="0"/>
      <w:marRight w:val="0"/>
      <w:marTop w:val="0"/>
      <w:marBottom w:val="0"/>
      <w:divBdr>
        <w:top w:val="none" w:sz="0" w:space="0" w:color="auto"/>
        <w:left w:val="none" w:sz="0" w:space="0" w:color="auto"/>
        <w:bottom w:val="none" w:sz="0" w:space="0" w:color="auto"/>
        <w:right w:val="none" w:sz="0" w:space="0" w:color="auto"/>
      </w:divBdr>
    </w:div>
    <w:div w:id="1754860618">
      <w:bodyDiv w:val="1"/>
      <w:marLeft w:val="0"/>
      <w:marRight w:val="0"/>
      <w:marTop w:val="0"/>
      <w:marBottom w:val="0"/>
      <w:divBdr>
        <w:top w:val="none" w:sz="0" w:space="0" w:color="auto"/>
        <w:left w:val="none" w:sz="0" w:space="0" w:color="auto"/>
        <w:bottom w:val="none" w:sz="0" w:space="0" w:color="auto"/>
        <w:right w:val="none" w:sz="0" w:space="0" w:color="auto"/>
      </w:divBdr>
    </w:div>
    <w:div w:id="1902209592">
      <w:bodyDiv w:val="1"/>
      <w:marLeft w:val="0"/>
      <w:marRight w:val="0"/>
      <w:marTop w:val="0"/>
      <w:marBottom w:val="0"/>
      <w:divBdr>
        <w:top w:val="none" w:sz="0" w:space="0" w:color="auto"/>
        <w:left w:val="none" w:sz="0" w:space="0" w:color="auto"/>
        <w:bottom w:val="none" w:sz="0" w:space="0" w:color="auto"/>
        <w:right w:val="none" w:sz="0" w:space="0" w:color="auto"/>
      </w:divBdr>
    </w:div>
    <w:div w:id="198076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E008727CEB0846AA7FA452435DCA6B" ma:contentTypeVersion="18" ma:contentTypeDescription="Create a new document." ma:contentTypeScope="" ma:versionID="f107f144c86e265c1c2a7c792c293ac6">
  <xsd:schema xmlns:xsd="http://www.w3.org/2001/XMLSchema" xmlns:xs="http://www.w3.org/2001/XMLSchema" xmlns:p="http://schemas.microsoft.com/office/2006/metadata/properties" xmlns:ns2="525dfdf4-6ccf-48d8-91a4-cfce4a51376a" xmlns:ns3="46ed41ed-5630-4425-92a3-24f6af0bfa5e" targetNamespace="http://schemas.microsoft.com/office/2006/metadata/properties" ma:root="true" ma:fieldsID="6c1c54e7079eab345dfd84f058db64f7" ns2:_="" ns3:_="">
    <xsd:import namespace="525dfdf4-6ccf-48d8-91a4-cfce4a51376a"/>
    <xsd:import namespace="46ed41ed-5630-4425-92a3-24f6af0bfa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dfdf4-6ccf-48d8-91a4-cfce4a513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5bcb7c-d703-4ac7-a39f-fa561dcef6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ed41ed-5630-4425-92a3-24f6af0bfa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342ec2-41c5-4dba-80f6-ea8312e73f61}" ma:internalName="TaxCatchAll" ma:showField="CatchAllData" ma:web="46ed41ed-5630-4425-92a3-24f6af0bf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6ed41ed-5630-4425-92a3-24f6af0bfa5e" xsi:nil="true"/>
    <lcf76f155ced4ddcb4097134ff3c332f xmlns="525dfdf4-6ccf-48d8-91a4-cfce4a51376a">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2a6c10d7-b926-4fc0-945e-3cbf5049f6bd" ContentTypeId="0x010100F4C63C3BD852AE468EAEFD0E6C57C64F0205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338B6-658C-4EF9-B21A-7E6FF1E84409}">
  <ds:schemaRefs>
    <ds:schemaRef ds:uri="http://schemas.microsoft.com/sharepoint/events"/>
  </ds:schemaRefs>
</ds:datastoreItem>
</file>

<file path=customXml/itemProps2.xml><?xml version="1.0" encoding="utf-8"?>
<ds:datastoreItem xmlns:ds="http://schemas.openxmlformats.org/officeDocument/2006/customXml" ds:itemID="{C2980609-9589-4B32-B9EF-107777374181}">
  <ds:schemaRefs>
    <ds:schemaRef ds:uri="http://schemas.microsoft.com/sharepoint/v3/contenttype/forms"/>
  </ds:schemaRefs>
</ds:datastoreItem>
</file>

<file path=customXml/itemProps3.xml><?xml version="1.0" encoding="utf-8"?>
<ds:datastoreItem xmlns:ds="http://schemas.openxmlformats.org/officeDocument/2006/customXml" ds:itemID="{8A7BA2FA-6154-4D90-9DEF-75DD6EFF7BB7}"/>
</file>

<file path=customXml/itemProps4.xml><?xml version="1.0" encoding="utf-8"?>
<ds:datastoreItem xmlns:ds="http://schemas.openxmlformats.org/officeDocument/2006/customXml" ds:itemID="{DEAE3405-91C1-4A65-A562-856F84B7E9D7}">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E1D055CB-3645-452D-A0DA-DEC511ACC264}">
  <ds:schemaRefs>
    <ds:schemaRef ds:uri="Microsoft.SharePoint.Taxonomy.ContentTypeSync"/>
  </ds:schemaRefs>
</ds:datastoreItem>
</file>

<file path=customXml/itemProps6.xml><?xml version="1.0" encoding="utf-8"?>
<ds:datastoreItem xmlns:ds="http://schemas.openxmlformats.org/officeDocument/2006/customXml" ds:itemID="{4052E4F1-E636-42B3-9932-6693E280D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2821</Words>
  <Characters>16084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Novakovic</dc:creator>
  <cp:keywords/>
  <dc:description/>
  <cp:lastModifiedBy>Sanja Bojanić Maksimović</cp:lastModifiedBy>
  <cp:revision>35</cp:revision>
  <dcterms:created xsi:type="dcterms:W3CDTF">2026-05-25T07:48:00Z</dcterms:created>
  <dcterms:modified xsi:type="dcterms:W3CDTF">2026-05-26T07:21:00Z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_language">
    <vt:lpwstr/>
  </property>
  <property fmtid="{D5CDD505-2E9C-101B-9397-08002B2CF9AE}" pid="6" name="WBDocs_Country">
    <vt:lpwstr/>
  </property>
  <property fmtid="{D5CDD505-2E9C-101B-9397-08002B2CF9AE}" pid="7" name="WBDocs_Local_Document_Type">
    <vt:lpwstr/>
  </property>
  <property fmtid="{D5CDD505-2E9C-101B-9397-08002B2CF9AE}" pid="8" name="m23003d518f743f49dcbc82909afe93a">
    <vt:lpwstr/>
  </property>
  <property fmtid="{D5CDD505-2E9C-101B-9397-08002B2CF9AE}" pid="9" name="MediaServiceImageTags">
    <vt:lpwstr/>
  </property>
  <property fmtid="{D5CDD505-2E9C-101B-9397-08002B2CF9AE}" pid="10" name="ContentTypeId">
    <vt:lpwstr>0x01010059E008727CEB0846AA7FA452435DCA6B</vt:lpwstr>
  </property>
  <property fmtid="{D5CDD505-2E9C-101B-9397-08002B2CF9AE}" pid="11" name="d744a75525f04a8c9e54f4ed11bfe7c0">
    <vt:lpwstr/>
  </property>
  <property fmtid="{D5CDD505-2E9C-101B-9397-08002B2CF9AE}" pid="12" name="WBDocs_Topic">
    <vt:lpwstr/>
  </property>
  <property fmtid="{D5CDD505-2E9C-101B-9397-08002B2CF9AE}" pid="13" name="TaxKeywordTaxHTField">
    <vt:lpwstr/>
  </property>
  <property fmtid="{D5CDD505-2E9C-101B-9397-08002B2CF9AE}" pid="14" name="Organization">
    <vt:lpwstr>3;#World Bank|bc205cc9-8a56-48a3-9f30-b099e7707c1b</vt:lpwstr>
  </property>
  <property fmtid="{D5CDD505-2E9C-101B-9397-08002B2CF9AE}" pid="15" name="WBDocs_Category">
    <vt:lpwstr/>
  </property>
  <property fmtid="{D5CDD505-2E9C-101B-9397-08002B2CF9AE}" pid="16" name="WBDocs_Language">
    <vt:lpwstr/>
  </property>
  <property fmtid="{D5CDD505-2E9C-101B-9397-08002B2CF9AE}" pid="17" name="n51c50147e554be9a5479ee6e2785bf7">
    <vt:lpwstr/>
  </property>
  <property fmtid="{D5CDD505-2E9C-101B-9397-08002B2CF9AE}" pid="18" name="pf1bc08d06b541998378c6b8090400d8">
    <vt:lpwstr/>
  </property>
  <property fmtid="{D5CDD505-2E9C-101B-9397-08002B2CF9AE}" pid="19" name="WBDocs_Business_Function">
    <vt:lpwstr/>
  </property>
  <property fmtid="{D5CDD505-2E9C-101B-9397-08002B2CF9AE}" pid="20" name="lcf76f155ced4ddcb4097134ff3c332f">
    <vt:lpwstr/>
  </property>
  <property fmtid="{D5CDD505-2E9C-101B-9397-08002B2CF9AE}" pid="21" name="wb_country">
    <vt:lpwstr/>
  </property>
  <property fmtid="{D5CDD505-2E9C-101B-9397-08002B2CF9AE}" pid="22" name="WBDocs_Originating_Unit">
    <vt:lpwstr/>
  </property>
  <property fmtid="{D5CDD505-2E9C-101B-9397-08002B2CF9AE}" pid="23" name="ClassificationContentMarkingFooterShapeIds">
    <vt:lpwstr>79377729,1df73295,609d02e2</vt:lpwstr>
  </property>
  <property fmtid="{D5CDD505-2E9C-101B-9397-08002B2CF9AE}" pid="24" name="ClassificationContentMarkingFooterFontProps">
    <vt:lpwstr>#000000,10,Calibri</vt:lpwstr>
  </property>
  <property fmtid="{D5CDD505-2E9C-101B-9397-08002B2CF9AE}" pid="25" name="ClassificationContentMarkingFooterText">
    <vt:lpwstr>Official Use Only</vt:lpwstr>
  </property>
  <property fmtid="{D5CDD505-2E9C-101B-9397-08002B2CF9AE}" pid="26" name="MSIP_Label_f1bf45b6-5649-4236-82a3-f45024cd282e_Enabled">
    <vt:lpwstr>true</vt:lpwstr>
  </property>
  <property fmtid="{D5CDD505-2E9C-101B-9397-08002B2CF9AE}" pid="27" name="MSIP_Label_f1bf45b6-5649-4236-82a3-f45024cd282e_SetDate">
    <vt:lpwstr>2025-06-09T21:29:27Z</vt:lpwstr>
  </property>
  <property fmtid="{D5CDD505-2E9C-101B-9397-08002B2CF9AE}" pid="28" name="MSIP_Label_f1bf45b6-5649-4236-82a3-f45024cd282e_Method">
    <vt:lpwstr>Standard</vt:lpwstr>
  </property>
  <property fmtid="{D5CDD505-2E9C-101B-9397-08002B2CF9AE}" pid="29" name="MSIP_Label_f1bf45b6-5649-4236-82a3-f45024cd282e_Name">
    <vt:lpwstr>Official Use Only</vt:lpwstr>
  </property>
  <property fmtid="{D5CDD505-2E9C-101B-9397-08002B2CF9AE}" pid="30" name="MSIP_Label_f1bf45b6-5649-4236-82a3-f45024cd282e_SiteId">
    <vt:lpwstr>31a2fec0-266b-4c67-b56e-2796d8f59c36</vt:lpwstr>
  </property>
  <property fmtid="{D5CDD505-2E9C-101B-9397-08002B2CF9AE}" pid="31" name="MSIP_Label_f1bf45b6-5649-4236-82a3-f45024cd282e_ActionId">
    <vt:lpwstr>8a4a1e21-3093-40d6-9207-c6c56ecbf66b</vt:lpwstr>
  </property>
  <property fmtid="{D5CDD505-2E9C-101B-9397-08002B2CF9AE}" pid="32" name="MSIP_Label_f1bf45b6-5649-4236-82a3-f45024cd282e_ContentBits">
    <vt:lpwstr>2</vt:lpwstr>
  </property>
  <property fmtid="{D5CDD505-2E9C-101B-9397-08002B2CF9AE}" pid="33" name="MSIP_Label_f1bf45b6-5649-4236-82a3-f45024cd282e_Tag">
    <vt:lpwstr>10, 3, 0, 2</vt:lpwstr>
  </property>
  <property fmtid="{D5CDD505-2E9C-101B-9397-08002B2CF9AE}" pid="34" name="docLang">
    <vt:lpwstr>en</vt:lpwstr>
  </property>
</Properties>
</file>